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E2" w:rsidRDefault="0002657B" w:rsidP="00C96DA5">
      <w:pPr>
        <w:rPr>
          <w:lang w:val="sl-SI"/>
        </w:rPr>
      </w:pPr>
      <w:r w:rsidRPr="0002657B">
        <w:rPr>
          <w:lang w:val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3810</wp:posOffset>
            </wp:positionV>
            <wp:extent cx="1257300" cy="1333500"/>
            <wp:effectExtent l="19050" t="0" r="0" b="0"/>
            <wp:wrapNone/>
            <wp:docPr id="1" name="Picture 1" descr="ec-TEMPUS_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c-TEMPUS_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DE2" w:rsidRDefault="00024DE2" w:rsidP="00C96DA5">
      <w:pPr>
        <w:rPr>
          <w:lang w:val="sl-SI"/>
        </w:rPr>
      </w:pPr>
    </w:p>
    <w:p w:rsidR="00024DE2" w:rsidRDefault="00644885" w:rsidP="00024DE2">
      <w:pPr>
        <w:keepNext/>
        <w:jc w:val="both"/>
        <w:outlineLvl w:val="0"/>
        <w:rPr>
          <w:b/>
          <w:bCs/>
          <w:noProof/>
          <w:sz w:val="28"/>
          <w:szCs w:val="28"/>
          <w:lang w:val="sl-SI"/>
        </w:rPr>
      </w:pPr>
      <w:r>
        <w:rPr>
          <w:b/>
          <w:bCs/>
          <w:noProof/>
          <w:sz w:val="28"/>
          <w:szCs w:val="28"/>
          <w:lang w:val="sl-SI"/>
        </w:rPr>
        <w:t xml:space="preserve">                             Podsticanje inovativnog ponasanja u poslu</w:t>
      </w:r>
    </w:p>
    <w:p w:rsidR="008127D0" w:rsidRDefault="008127D0" w:rsidP="00024DE2">
      <w:pPr>
        <w:keepNext/>
        <w:jc w:val="both"/>
        <w:outlineLvl w:val="0"/>
        <w:rPr>
          <w:b/>
          <w:bCs/>
          <w:noProof/>
          <w:sz w:val="28"/>
          <w:szCs w:val="28"/>
          <w:lang w:val="sl-SI"/>
        </w:rPr>
      </w:pPr>
    </w:p>
    <w:p w:rsidR="00644885" w:rsidRPr="008127D0" w:rsidRDefault="008127D0" w:rsidP="00024DE2">
      <w:pPr>
        <w:keepNext/>
        <w:jc w:val="both"/>
        <w:outlineLvl w:val="0"/>
        <w:rPr>
          <w:b/>
          <w:bCs/>
          <w:noProof/>
          <w:lang w:val="sr-Latn-CS"/>
        </w:rPr>
      </w:pPr>
      <w:r>
        <w:rPr>
          <w:b/>
          <w:bCs/>
          <w:noProof/>
          <w:sz w:val="28"/>
          <w:szCs w:val="28"/>
          <w:lang w:val="sl-SI"/>
        </w:rPr>
        <w:tab/>
      </w:r>
      <w:r>
        <w:rPr>
          <w:b/>
          <w:bCs/>
          <w:noProof/>
          <w:sz w:val="28"/>
          <w:szCs w:val="28"/>
          <w:lang w:val="sl-SI"/>
        </w:rPr>
        <w:tab/>
      </w:r>
      <w:r>
        <w:rPr>
          <w:b/>
          <w:bCs/>
          <w:noProof/>
          <w:sz w:val="28"/>
          <w:szCs w:val="28"/>
          <w:lang w:val="sl-SI"/>
        </w:rPr>
        <w:tab/>
      </w:r>
      <w:r>
        <w:rPr>
          <w:b/>
          <w:bCs/>
          <w:noProof/>
          <w:sz w:val="28"/>
          <w:szCs w:val="28"/>
          <w:lang w:val="sl-SI"/>
        </w:rPr>
        <w:tab/>
      </w:r>
      <w:r w:rsidRPr="008127D0">
        <w:rPr>
          <w:b/>
          <w:bCs/>
          <w:noProof/>
          <w:lang w:val="sl-SI"/>
        </w:rPr>
        <w:t xml:space="preserve">        Prof.dr Zorica Sagić</w:t>
      </w:r>
    </w:p>
    <w:p w:rsidR="00024DE2" w:rsidRPr="00024DE2" w:rsidRDefault="00024DE2" w:rsidP="00024DE2">
      <w:pPr>
        <w:rPr>
          <w:b/>
          <w:noProof/>
          <w:lang w:val="sl-SI"/>
        </w:rPr>
      </w:pPr>
    </w:p>
    <w:p w:rsidR="00ED0DBC" w:rsidRPr="00024DE2" w:rsidRDefault="00ED0DBC" w:rsidP="00782B85">
      <w:pPr>
        <w:jc w:val="both"/>
        <w:rPr>
          <w:b/>
          <w:noProof/>
          <w:lang w:val="sl-SI"/>
        </w:rPr>
      </w:pPr>
    </w:p>
    <w:p w:rsidR="0002657B" w:rsidRDefault="0002657B" w:rsidP="00ED0DBC">
      <w:pPr>
        <w:ind w:firstLine="1134"/>
        <w:jc w:val="both"/>
        <w:rPr>
          <w:lang w:val="sl-SI"/>
        </w:rPr>
      </w:pPr>
    </w:p>
    <w:p w:rsidR="00ED0DBC" w:rsidRPr="00ED0DBC" w:rsidRDefault="00ED0DBC" w:rsidP="00ED0DBC">
      <w:pPr>
        <w:ind w:firstLine="1134"/>
        <w:jc w:val="both"/>
        <w:rPr>
          <w:lang w:val="sl-SI"/>
        </w:rPr>
      </w:pPr>
      <w:r w:rsidRPr="00ED0DBC">
        <w:rPr>
          <w:lang w:val="sl-SI"/>
        </w:rPr>
        <w:t xml:space="preserve">Tehnološki razvoj je direktno vezan za ljudski faktor, jer je on u savremenim uslovima najznačajniji razvojni resurs. Ulaganje u razvoj ljudskih resursa je tendencija globalnih razmera, jer je </w:t>
      </w:r>
      <w:r w:rsidR="002212EE">
        <w:rPr>
          <w:lang w:val="sl-SI"/>
        </w:rPr>
        <w:t>„</w:t>
      </w:r>
      <w:r w:rsidRPr="00ED0DBC">
        <w:rPr>
          <w:lang w:val="sl-SI"/>
        </w:rPr>
        <w:t>civilizacija znanja” podjednako važna za razvijene zemlje i one koje to nastoje da postanu. Naučno-tehnološki razvoj i visoka zaposlenost zahtevaju adekvatan ljudski potencijal, odnosno znanje koje može da ostvari integraciju ekonomskog i društvenog razvoja.</w:t>
      </w:r>
    </w:p>
    <w:p w:rsidR="00ED0DBC" w:rsidRPr="00ED0DBC" w:rsidRDefault="00ED0DBC" w:rsidP="00ED0DBC">
      <w:pPr>
        <w:ind w:firstLine="1134"/>
        <w:jc w:val="both"/>
        <w:rPr>
          <w:lang w:val="sl-SI"/>
        </w:rPr>
      </w:pPr>
      <w:r w:rsidRPr="00ED0DBC">
        <w:rPr>
          <w:lang w:val="sl-SI"/>
        </w:rPr>
        <w:t>Obrazovni sistem, kao prva stepenica akumuliranog fonda znanja ima istaknuto mesto u prilagođavanju zahtevima razvoja. To znači da nije dovoljno samo obrazovanje u tradicionalnom smislu, već znanje koje može u svim oblastima biti produktivno.</w:t>
      </w:r>
    </w:p>
    <w:p w:rsidR="00ED0DBC" w:rsidRDefault="00ED0DBC" w:rsidP="00ED0DBC">
      <w:pPr>
        <w:ind w:firstLine="1134"/>
        <w:jc w:val="both"/>
      </w:pPr>
      <w:r w:rsidRPr="00ED0DBC">
        <w:rPr>
          <w:lang w:val="sl-SI"/>
        </w:rPr>
        <w:t xml:space="preserve">Menadžment kao praksa ima genezu od ranih civilizacija, ako se uzmu u obzir brojne aktivnosti organizovanja i upravljanja u privatnom i javnom životu. </w:t>
      </w:r>
      <w:r>
        <w:t xml:space="preserve">Savremena teorija i praksa menadžmenta počiva na idejama o </w:t>
      </w:r>
      <w:r>
        <w:rPr>
          <w:b/>
        </w:rPr>
        <w:t>naučnom menadžmentu</w:t>
      </w:r>
      <w:r>
        <w:t xml:space="preserve">. </w:t>
      </w:r>
    </w:p>
    <w:p w:rsidR="00ED0DBC" w:rsidRDefault="00ED0DBC" w:rsidP="00ED0DBC">
      <w:pPr>
        <w:ind w:firstLine="1134"/>
        <w:jc w:val="both"/>
      </w:pPr>
      <w:r>
        <w:t>Danas je to kompleksan sistem koji se podjednako primenjuje u proizvodnim i neproizvodnim organizacijama. Menadžment je neophodna karika u svim savremenim organizacijama, jer se na taj način mobiliše potrebno znanje u stvaranju novog, značajnog i konkurentnog na tržištu.</w:t>
      </w:r>
    </w:p>
    <w:p w:rsidR="00ED0DBC" w:rsidRDefault="00ED0DBC" w:rsidP="00ED0DBC">
      <w:pPr>
        <w:ind w:firstLine="1134"/>
        <w:jc w:val="both"/>
      </w:pPr>
      <w:r>
        <w:t xml:space="preserve">Na prelazu u novi milenijum relevantne su sledeće karakteristike svetskog okruženja: globalizacija, kompjuterizacija, brzo tehnološko zastarevanje, promenljivost tržišta, povećanje sofisticiranosti kupaca, povećanje međunarodne saradnje, izraženi diskontinuiteti i razvoj postmoderne kulture. Naglašava se turbulentnost eksternog okruženja preduzeća, ali u budućim uslovima turbulencija može biti i interno generisana, prvenstveno </w:t>
      </w:r>
      <w:r>
        <w:rPr>
          <w:b/>
        </w:rPr>
        <w:t>inovacijama</w:t>
      </w:r>
      <w:r>
        <w:t>.</w:t>
      </w:r>
    </w:p>
    <w:p w:rsidR="00ED0DBC" w:rsidRDefault="00ED0DBC" w:rsidP="00ED0DBC">
      <w:pPr>
        <w:jc w:val="both"/>
        <w:rPr>
          <w:b/>
        </w:rPr>
      </w:pPr>
    </w:p>
    <w:p w:rsidR="00ED0DBC" w:rsidRDefault="00ED0DBC" w:rsidP="00ED0DBC">
      <w:pPr>
        <w:jc w:val="both"/>
        <w:rPr>
          <w:b/>
        </w:rPr>
      </w:pPr>
    </w:p>
    <w:p w:rsidR="00ED0DBC" w:rsidRPr="008127D0" w:rsidRDefault="00ED0DBC" w:rsidP="008127D0">
      <w:pPr>
        <w:jc w:val="both"/>
        <w:rPr>
          <w:b/>
        </w:rPr>
      </w:pPr>
      <w:r w:rsidRPr="008127D0">
        <w:rPr>
          <w:b/>
        </w:rPr>
        <w:t>Uloga znanja u savremenim uslovima privređivanja</w:t>
      </w:r>
    </w:p>
    <w:p w:rsidR="00ED0DBC" w:rsidRDefault="00ED0DBC" w:rsidP="00ED0DBC">
      <w:pPr>
        <w:jc w:val="both"/>
        <w:rPr>
          <w:b/>
        </w:rPr>
      </w:pPr>
    </w:p>
    <w:p w:rsidR="00ED0DBC" w:rsidRDefault="00ED0DBC" w:rsidP="00ED0DBC">
      <w:pPr>
        <w:ind w:firstLine="1134"/>
        <w:jc w:val="both"/>
      </w:pPr>
      <w:r>
        <w:t>Govore</w:t>
      </w:r>
      <w:r>
        <w:rPr>
          <w:lang w:val="sr-Latn-CS"/>
        </w:rPr>
        <w:t>ć</w:t>
      </w:r>
      <w:r>
        <w:t xml:space="preserve">i o novom konceptu organizacije </w:t>
      </w:r>
      <w:r w:rsidRPr="006D0F4D">
        <w:rPr>
          <w:i/>
        </w:rPr>
        <w:t>Drucker</w:t>
      </w:r>
      <w:r>
        <w:t xml:space="preserve"> kaže da je </w:t>
      </w:r>
      <w:r w:rsidR="002212EE">
        <w:t>„</w:t>
      </w:r>
      <w:r>
        <w:t>priroda znanja</w:t>
      </w:r>
      <w:r w:rsidR="002212EE">
        <w:t>“</w:t>
      </w:r>
      <w:r>
        <w:t xml:space="preserve"> u čestim promenama. Dinamika znanja nameće potrebu da svaka organizacija mora da ugrađuje menadžment promena u strategiju svoga preduzeća. Organizacija mora da eksploatiše, odnosno mora da razvija sledeću generaciju promena sopstvenog uspeha. Inovativnost mora biti organizovan i usmeravan proces u savremenoj organizaciji. Moderna orgnizacija se sastoji od specijalista znanja, iz čega proizilazi da ona mora biti organizacija jednakih, a ne organizacija nadređenih i podređenih.</w:t>
      </w:r>
      <w:r>
        <w:rPr>
          <w:rStyle w:val="FootnoteReference"/>
        </w:rPr>
        <w:footnoteReference w:id="2"/>
      </w:r>
    </w:p>
    <w:p w:rsidR="00ED0DBC" w:rsidRDefault="00ED0DBC" w:rsidP="00ED0DBC">
      <w:pPr>
        <w:ind w:firstLine="1134"/>
        <w:jc w:val="both"/>
      </w:pPr>
      <w:r w:rsidRPr="006D0F4D">
        <w:rPr>
          <w:i/>
        </w:rPr>
        <w:t>Drucker</w:t>
      </w:r>
      <w:r>
        <w:t xml:space="preserve"> je, takođe, ukazao na evolutivni proces promene pojma znanja. Ranije se znanje vezivalo uz ličnost, sada se vezuje uz rad, odnosno postalo je resurs i oruđe. Znanje je sada javno dobro. U početku se znanje primenjivalo na alate, procese i proizvode. To je bila osnova industrijske revolucije. Krajem XIX veka počinje druga faza – revolucija produktivnosti, odnosno primena novih saznanja na rad. Poslednja faza je počela posle Drugog svetskog rata, kada je znanje počelo da se primenjuje na znanje. To </w:t>
      </w:r>
      <w:r w:rsidRPr="006D0F4D">
        <w:rPr>
          <w:i/>
        </w:rPr>
        <w:t>Drucker</w:t>
      </w:r>
      <w:r>
        <w:t xml:space="preserve"> naziva revolucijom menadžmenta. </w:t>
      </w:r>
      <w:smartTag w:uri="urn:schemas-microsoft-com:office:smarttags" w:element="place">
        <w:r>
          <w:t>Po</w:t>
        </w:r>
      </w:smartTag>
      <w:r>
        <w:t xml:space="preserve"> njemu bi bilo prerano i prejudicirano, nazivati sadašnje društvo </w:t>
      </w:r>
      <w:r w:rsidR="002212EE">
        <w:t>„</w:t>
      </w:r>
      <w:r w:rsidRPr="006D0F4D">
        <w:rPr>
          <w:i/>
        </w:rPr>
        <w:t>društvom</w:t>
      </w:r>
      <w:r>
        <w:t xml:space="preserve"> </w:t>
      </w:r>
      <w:r w:rsidRPr="006D0F4D">
        <w:rPr>
          <w:i/>
        </w:rPr>
        <w:t>znanja</w:t>
      </w:r>
      <w:r w:rsidR="002212EE">
        <w:t>“</w:t>
      </w:r>
      <w:r>
        <w:t xml:space="preserve">. Za sada postoji samo privreda zasnovana na znanju. Menadžment je odgovoran za primenu znanja i učinak koji se time ostvaruje. </w:t>
      </w:r>
      <w:r>
        <w:lastRenderedPageBreak/>
        <w:t>Zaključak je, da tamo gde postoji efikasan menadžment, odnosno gde se znanje primenjuje na znanje, uvek se mogu pribaviti i ostali resursi.</w:t>
      </w:r>
      <w:r>
        <w:rPr>
          <w:rStyle w:val="FootnoteReference"/>
        </w:rPr>
        <w:footnoteReference w:id="3"/>
      </w:r>
    </w:p>
    <w:p w:rsidR="00ED0DBC" w:rsidRDefault="00ED0DBC" w:rsidP="00ED0DBC">
      <w:pPr>
        <w:ind w:firstLine="1134"/>
        <w:jc w:val="both"/>
      </w:pPr>
      <w:r>
        <w:t xml:space="preserve">Snaga savremenog, globalnog preduzeća sve više je sadržana u intelektualnim i kulturnim performansama preduzeća, nego u tradicionalnoj opipljivoj aktivi. Stoga su </w:t>
      </w:r>
      <w:smartTag w:uri="urn:schemas-microsoft-com:office:smarttags" w:element="City">
        <w:smartTag w:uri="urn:schemas-microsoft-com:office:smarttags" w:element="place">
          <w:r>
            <w:t>tačna</w:t>
          </w:r>
        </w:smartTag>
      </w:smartTag>
      <w:r>
        <w:t xml:space="preserve"> uverenja da budućnost pripada onima koji su bogati znanjem. Za </w:t>
      </w:r>
      <w:r w:rsidRPr="006D0F4D">
        <w:rPr>
          <w:i/>
        </w:rPr>
        <w:t>Drucker</w:t>
      </w:r>
      <w:r>
        <w:t xml:space="preserve">-a ključna figura postaje specijalista znanja, odnosno savremeni menadžer koji zna kako da locira znanje u produktivne svrhe. Znanje menadžera je uslov za efikasno korišćenje postojećih i pribavljivih izvora preduzeća. ( Neopipljiva aktiva preduzeća uključuje: iskustvo, informacije, </w:t>
      </w:r>
      <w:r w:rsidRPr="006D0F4D">
        <w:rPr>
          <w:i/>
        </w:rPr>
        <w:t>know-how</w:t>
      </w:r>
      <w:r>
        <w:t xml:space="preserve">, spremnost menadžmenta, marku, imidž, reputaciju, kulturu, lojalnost potrošača, poverenje, poznavanje preferencija potrošača i sposobnost obrade informacija).  </w:t>
      </w:r>
    </w:p>
    <w:p w:rsidR="00ED0DBC" w:rsidRDefault="00ED0DBC" w:rsidP="00ED0DBC">
      <w:pPr>
        <w:ind w:firstLine="1134"/>
        <w:jc w:val="both"/>
      </w:pPr>
      <w:r>
        <w:t>Šest faktora determinišu produktivnost specijaliste znanja:</w:t>
      </w:r>
      <w:r>
        <w:rPr>
          <w:rStyle w:val="FootnoteReference"/>
        </w:rPr>
        <w:footnoteReference w:id="4"/>
      </w:r>
    </w:p>
    <w:p w:rsidR="00ED0DBC" w:rsidRDefault="00ED0DBC" w:rsidP="00ED0DBC">
      <w:pPr>
        <w:ind w:firstLine="540"/>
        <w:jc w:val="both"/>
      </w:pPr>
      <w:r>
        <w:t xml:space="preserve">1)  </w:t>
      </w:r>
      <w:r w:rsidR="002212EE">
        <w:t>„</w:t>
      </w:r>
      <w:r w:rsidRPr="006D0F4D">
        <w:rPr>
          <w:i/>
        </w:rPr>
        <w:t>šta je zadatak</w:t>
      </w:r>
      <w:r w:rsidR="002212EE">
        <w:t>“</w:t>
      </w:r>
    </w:p>
    <w:p w:rsidR="00ED0DBC" w:rsidRDefault="00ED0DBC" w:rsidP="00ED0DBC">
      <w:pPr>
        <w:ind w:firstLine="540"/>
        <w:jc w:val="both"/>
      </w:pPr>
      <w:r>
        <w:t xml:space="preserve">2)  </w:t>
      </w:r>
      <w:r w:rsidR="002212EE">
        <w:t>„</w:t>
      </w:r>
      <w:r w:rsidRPr="006D0F4D">
        <w:rPr>
          <w:i/>
        </w:rPr>
        <w:t>specijalista znanja treba sobom da rukovodi</w:t>
      </w:r>
      <w:r w:rsidR="002212EE">
        <w:t>“</w:t>
      </w:r>
    </w:p>
    <w:p w:rsidR="00ED0DBC" w:rsidRDefault="00ED0DBC" w:rsidP="00ED0DBC">
      <w:pPr>
        <w:ind w:firstLine="540"/>
        <w:jc w:val="both"/>
      </w:pPr>
      <w:r>
        <w:t xml:space="preserve">3)  </w:t>
      </w:r>
      <w:r w:rsidR="002212EE">
        <w:t>„</w:t>
      </w:r>
      <w:r w:rsidRPr="006D0F4D">
        <w:rPr>
          <w:i/>
        </w:rPr>
        <w:t>kontinuelna inovacija je deo zadatka</w:t>
      </w:r>
      <w:r w:rsidR="002212EE">
        <w:t>“</w:t>
      </w:r>
    </w:p>
    <w:p w:rsidR="00ED0DBC" w:rsidRDefault="00ED0DBC" w:rsidP="00ED0DBC">
      <w:pPr>
        <w:ind w:firstLine="540"/>
        <w:jc w:val="both"/>
      </w:pPr>
      <w:r>
        <w:t xml:space="preserve">4)  </w:t>
      </w:r>
      <w:r w:rsidR="002212EE">
        <w:t>„</w:t>
      </w:r>
      <w:r w:rsidRPr="006D0F4D">
        <w:rPr>
          <w:i/>
        </w:rPr>
        <w:t>kontinuelno učenje i predavanje</w:t>
      </w:r>
      <w:r w:rsidR="002212EE">
        <w:t>“</w:t>
      </w:r>
    </w:p>
    <w:p w:rsidR="00ED0DBC" w:rsidRDefault="00ED0DBC" w:rsidP="00ED0DBC">
      <w:pPr>
        <w:ind w:firstLine="540"/>
        <w:jc w:val="both"/>
      </w:pPr>
      <w:r>
        <w:t xml:space="preserve">5)  </w:t>
      </w:r>
      <w:r w:rsidR="002212EE">
        <w:t>„</w:t>
      </w:r>
      <w:r w:rsidRPr="006D0F4D">
        <w:rPr>
          <w:i/>
        </w:rPr>
        <w:t>kvalitet je bitniji od kvantiteta</w:t>
      </w:r>
      <w:r w:rsidR="002212EE">
        <w:t>“</w:t>
      </w:r>
    </w:p>
    <w:p w:rsidR="00ED0DBC" w:rsidRDefault="00ED0DBC" w:rsidP="00ED0DBC">
      <w:pPr>
        <w:ind w:firstLine="540"/>
        <w:jc w:val="both"/>
      </w:pPr>
      <w:r>
        <w:t xml:space="preserve">6)  specijalista znanja treba da se posmatra kao </w:t>
      </w:r>
      <w:r w:rsidR="002212EE">
        <w:t>„</w:t>
      </w:r>
      <w:r w:rsidRPr="006D0F4D">
        <w:rPr>
          <w:i/>
        </w:rPr>
        <w:t>aktiva</w:t>
      </w:r>
      <w:r w:rsidR="002212EE">
        <w:t>“</w:t>
      </w:r>
      <w:r>
        <w:t xml:space="preserve">, a ne kao </w:t>
      </w:r>
      <w:r w:rsidR="002212EE">
        <w:t>„</w:t>
      </w:r>
      <w:r w:rsidRPr="006D0F4D">
        <w:rPr>
          <w:i/>
        </w:rPr>
        <w:t>trošak</w:t>
      </w:r>
      <w:r w:rsidR="002212EE">
        <w:t>“</w:t>
      </w:r>
      <w:r>
        <w:t>.</w:t>
      </w:r>
    </w:p>
    <w:p w:rsidR="00ED0DBC" w:rsidRDefault="00ED0DBC" w:rsidP="00ED0DBC">
      <w:pPr>
        <w:ind w:firstLine="720"/>
        <w:jc w:val="both"/>
      </w:pPr>
    </w:p>
    <w:p w:rsidR="00ED0DBC" w:rsidRDefault="00ED0DBC" w:rsidP="00ED0DBC">
      <w:pPr>
        <w:ind w:firstLine="1134"/>
        <w:jc w:val="both"/>
      </w:pPr>
      <w:r>
        <w:t xml:space="preserve">Prema Ajnštajnu </w:t>
      </w:r>
      <w:r w:rsidR="002212EE">
        <w:t>„</w:t>
      </w:r>
      <w:r w:rsidRPr="006D0F4D">
        <w:rPr>
          <w:i/>
        </w:rPr>
        <w:t>znanje je iskustvo, a sve je ostalo samo informacija</w:t>
      </w:r>
      <w:r w:rsidR="002212EE">
        <w:t>“</w:t>
      </w:r>
      <w:r>
        <w:t>.</w:t>
      </w:r>
    </w:p>
    <w:p w:rsidR="00ED0DBC" w:rsidRPr="00D80164" w:rsidRDefault="00ED0DBC" w:rsidP="00ED0DBC">
      <w:pPr>
        <w:ind w:firstLine="1134"/>
        <w:jc w:val="both"/>
      </w:pPr>
      <w:r>
        <w:rPr>
          <w:lang w:val="sr-Latn-CS"/>
        </w:rPr>
        <w:t>Šest karakteristika znanja razlikuje ga od informacija:</w:t>
      </w:r>
      <w:r>
        <w:rPr>
          <w:rStyle w:val="FootnoteReference"/>
          <w:lang w:val="sr-Latn-CS"/>
        </w:rPr>
        <w:footnoteReference w:id="5"/>
      </w:r>
    </w:p>
    <w:p w:rsidR="00ED0DBC" w:rsidRDefault="00ED0DBC" w:rsidP="00B31112">
      <w:pPr>
        <w:numPr>
          <w:ilvl w:val="0"/>
          <w:numId w:val="47"/>
        </w:numPr>
        <w:jc w:val="both"/>
        <w:rPr>
          <w:lang w:val="sr-Latn-CS"/>
        </w:rPr>
      </w:pPr>
      <w:r>
        <w:rPr>
          <w:lang w:val="sr-Latn-CS"/>
        </w:rPr>
        <w:t>znanje je ljudska aktivnost;</w:t>
      </w:r>
    </w:p>
    <w:p w:rsidR="00ED0DBC" w:rsidRDefault="00ED0DBC" w:rsidP="00B31112">
      <w:pPr>
        <w:numPr>
          <w:ilvl w:val="0"/>
          <w:numId w:val="47"/>
        </w:numPr>
        <w:jc w:val="both"/>
        <w:rPr>
          <w:lang w:val="sr-Latn-CS"/>
        </w:rPr>
      </w:pPr>
      <w:r>
        <w:rPr>
          <w:lang w:val="sr-Latn-CS"/>
        </w:rPr>
        <w:t>znanje je rezultat razmišljanja,</w:t>
      </w:r>
    </w:p>
    <w:p w:rsidR="00ED0DBC" w:rsidRDefault="00ED0DBC" w:rsidP="00B31112">
      <w:pPr>
        <w:numPr>
          <w:ilvl w:val="0"/>
          <w:numId w:val="47"/>
        </w:numPr>
        <w:jc w:val="both"/>
        <w:rPr>
          <w:lang w:val="sr-Latn-CS"/>
        </w:rPr>
      </w:pPr>
      <w:r>
        <w:rPr>
          <w:lang w:val="sr-Latn-CS"/>
        </w:rPr>
        <w:t>znanje se kreira u sadašnjem momentu;</w:t>
      </w:r>
    </w:p>
    <w:p w:rsidR="00ED0DBC" w:rsidRDefault="00ED0DBC" w:rsidP="00B31112">
      <w:pPr>
        <w:numPr>
          <w:ilvl w:val="0"/>
          <w:numId w:val="47"/>
        </w:numPr>
        <w:jc w:val="both"/>
        <w:rPr>
          <w:lang w:val="sr-Latn-CS"/>
        </w:rPr>
      </w:pPr>
      <w:r>
        <w:rPr>
          <w:lang w:val="sr-Latn-CS"/>
        </w:rPr>
        <w:t>znanje cirkuliše kroz društvo na više načina;</w:t>
      </w:r>
    </w:p>
    <w:p w:rsidR="00ED0DBC" w:rsidRDefault="00ED0DBC" w:rsidP="00B31112">
      <w:pPr>
        <w:numPr>
          <w:ilvl w:val="0"/>
          <w:numId w:val="47"/>
        </w:numPr>
        <w:jc w:val="both"/>
        <w:rPr>
          <w:lang w:val="sr-Latn-CS"/>
        </w:rPr>
      </w:pPr>
      <w:r>
        <w:rPr>
          <w:lang w:val="sr-Latn-CS"/>
        </w:rPr>
        <w:t>znanje pripada društvu;</w:t>
      </w:r>
    </w:p>
    <w:p w:rsidR="00ED0DBC" w:rsidRDefault="00ED0DBC" w:rsidP="00B31112">
      <w:pPr>
        <w:numPr>
          <w:ilvl w:val="0"/>
          <w:numId w:val="47"/>
        </w:numPr>
        <w:jc w:val="both"/>
        <w:rPr>
          <w:lang w:val="sr-Latn-CS"/>
        </w:rPr>
      </w:pPr>
      <w:r>
        <w:rPr>
          <w:lang w:val="sr-Latn-CS"/>
        </w:rPr>
        <w:t>novo znanje se kreira u granicama starog.</w:t>
      </w:r>
    </w:p>
    <w:p w:rsidR="00ED0DBC" w:rsidRDefault="00ED0DBC" w:rsidP="00ED0DBC">
      <w:pPr>
        <w:ind w:firstLine="720"/>
        <w:jc w:val="both"/>
      </w:pPr>
    </w:p>
    <w:p w:rsidR="00ED0DBC" w:rsidRDefault="00ED0DBC" w:rsidP="00ED0DBC">
      <w:pPr>
        <w:ind w:firstLine="1134"/>
        <w:jc w:val="both"/>
      </w:pPr>
      <w:r>
        <w:t>Znanje se u sve većoj meri shvata kao esencijalno za uspešnu realizaciju strategije tehnološkog razvoja, za opstanak i razvoj poslovanja, kao i za suočavanje sa promenama. Jedan od osnovnih ciljeva politike naučno-tehnološkog razvoja naše zemlje jeste – stvaranje, transfer, ovladavanje i difuzija novih znanja sa primećenim pozitivnim efektima na:</w:t>
      </w:r>
    </w:p>
    <w:p w:rsidR="00ED0DBC" w:rsidRDefault="00ED0DBC" w:rsidP="00B31112">
      <w:pPr>
        <w:numPr>
          <w:ilvl w:val="0"/>
          <w:numId w:val="48"/>
        </w:numPr>
        <w:tabs>
          <w:tab w:val="clear" w:pos="1080"/>
          <w:tab w:val="num" w:pos="900"/>
        </w:tabs>
        <w:ind w:left="900"/>
        <w:jc w:val="both"/>
      </w:pPr>
      <w:r>
        <w:t>sopstveni razvoj,</w:t>
      </w:r>
    </w:p>
    <w:p w:rsidR="00ED0DBC" w:rsidRDefault="00ED0DBC" w:rsidP="00B31112">
      <w:pPr>
        <w:numPr>
          <w:ilvl w:val="0"/>
          <w:numId w:val="48"/>
        </w:numPr>
        <w:tabs>
          <w:tab w:val="clear" w:pos="1080"/>
          <w:tab w:val="num" w:pos="900"/>
        </w:tabs>
        <w:ind w:left="900"/>
        <w:jc w:val="both"/>
      </w:pPr>
      <w:r>
        <w:t>rast isplativih tansfera tehnologija i znanja,</w:t>
      </w:r>
    </w:p>
    <w:p w:rsidR="00ED0DBC" w:rsidRDefault="00ED0DBC" w:rsidP="00B31112">
      <w:pPr>
        <w:numPr>
          <w:ilvl w:val="0"/>
          <w:numId w:val="48"/>
        </w:numPr>
        <w:tabs>
          <w:tab w:val="clear" w:pos="1080"/>
          <w:tab w:val="num" w:pos="900"/>
        </w:tabs>
        <w:ind w:left="900"/>
        <w:jc w:val="both"/>
      </w:pPr>
      <w:r>
        <w:t>rast korišćenja baza podataka i znanja na globalnom nivou,</w:t>
      </w:r>
    </w:p>
    <w:p w:rsidR="00ED0DBC" w:rsidRDefault="00ED0DBC" w:rsidP="00B31112">
      <w:pPr>
        <w:numPr>
          <w:ilvl w:val="0"/>
          <w:numId w:val="48"/>
        </w:numPr>
        <w:tabs>
          <w:tab w:val="clear" w:pos="1080"/>
          <w:tab w:val="num" w:pos="900"/>
        </w:tabs>
        <w:ind w:left="900"/>
        <w:jc w:val="both"/>
      </w:pPr>
      <w:r>
        <w:t>rast naučno-pouzdanog razumevanja društvenih, kulturnih i drugih procesa i promena.</w:t>
      </w:r>
    </w:p>
    <w:p w:rsidR="00ED0DBC" w:rsidRDefault="00ED0DBC" w:rsidP="00ED0DBC">
      <w:pPr>
        <w:ind w:firstLine="720"/>
        <w:jc w:val="both"/>
      </w:pPr>
    </w:p>
    <w:p w:rsidR="00ED0DBC" w:rsidRDefault="00ED0DBC" w:rsidP="00ED0DBC">
      <w:pPr>
        <w:ind w:firstLine="1134"/>
        <w:jc w:val="both"/>
      </w:pPr>
      <w:r>
        <w:t>Tu se, pre svega, misli na stvaranje poverenja u znanje i omogućavanje njegove veće  upotrebe u privredi i društvu, odnosno na povećanje značaja, uloge i odgovornosti znanja za opstanak i razvoj privrede i društva.</w:t>
      </w:r>
      <w:r>
        <w:rPr>
          <w:rStyle w:val="FootnoteReference"/>
        </w:rPr>
        <w:footnoteReference w:id="6"/>
      </w:r>
    </w:p>
    <w:p w:rsidR="00ED0DBC" w:rsidRDefault="00ED0DBC" w:rsidP="00ED0DBC">
      <w:pPr>
        <w:ind w:firstLine="1134"/>
        <w:jc w:val="both"/>
      </w:pPr>
      <w:r>
        <w:t>Učenje ima za svrhu povećanje znanja ili postizanje višeg stepena postojeće veštine. U tom smislu učenje se odnosi na relativno stalnu promenu u ponašanju koja nastaje kao rezultat iskustva ili prakse.</w:t>
      </w:r>
    </w:p>
    <w:p w:rsidR="00ED0DBC" w:rsidRDefault="00ED0DBC" w:rsidP="00ED0DBC">
      <w:pPr>
        <w:ind w:firstLine="720"/>
        <w:jc w:val="both"/>
      </w:pPr>
    </w:p>
    <w:p w:rsidR="00ED0DBC" w:rsidRDefault="00ED0DBC" w:rsidP="00ED0DBC">
      <w:pPr>
        <w:ind w:left="1797"/>
        <w:rPr>
          <w:u w:val="single"/>
        </w:rPr>
      </w:pPr>
      <w:r>
        <w:rPr>
          <w:b/>
        </w:rPr>
        <w:t xml:space="preserve"> </w:t>
      </w:r>
    </w:p>
    <w:p w:rsidR="00ED0DBC" w:rsidRPr="006D0F4D" w:rsidRDefault="00ED0DBC" w:rsidP="00ED0DBC">
      <w:pPr>
        <w:jc w:val="both"/>
        <w:rPr>
          <w:b/>
        </w:rPr>
      </w:pPr>
    </w:p>
    <w:p w:rsidR="00644885" w:rsidRPr="006D0F4D" w:rsidRDefault="00644885" w:rsidP="00644885">
      <w:pPr>
        <w:jc w:val="both"/>
        <w:rPr>
          <w:b/>
        </w:rPr>
      </w:pPr>
      <w:r>
        <w:rPr>
          <w:b/>
        </w:rPr>
        <w:t>Znanje i inovativnost preduzeća</w:t>
      </w:r>
    </w:p>
    <w:p w:rsidR="00ED0DBC" w:rsidRDefault="00ED0DBC" w:rsidP="00ED0DBC">
      <w:pPr>
        <w:ind w:left="720"/>
        <w:jc w:val="both"/>
      </w:pPr>
    </w:p>
    <w:p w:rsidR="00ED0DBC" w:rsidRDefault="00ED0DBC" w:rsidP="00ED0DBC">
      <w:pPr>
        <w:ind w:firstLine="1134"/>
        <w:jc w:val="both"/>
      </w:pPr>
      <w:r>
        <w:t>Mentalni procesi orijentisani na razvoj znanja po svojoj prirodi mogu biti: individualni i kolektivni. Pojedinci razmišljaju, ali i grupa i organizacija takođe prolaze kroz procese percepcije i razvijaju sopstvene konceptualne okvire. Progresija znanja u smislu intelektualnog učenja se postiže kroz socijalni proces koji je u velikoj meri usmeren na maksimiziranje kolektivnog know-howa raspoloživog za oblikovanje budućnosti preduzeća.</w:t>
      </w:r>
    </w:p>
    <w:p w:rsidR="00ED0DBC" w:rsidRDefault="00ED0DBC" w:rsidP="00ED0DBC">
      <w:pPr>
        <w:ind w:firstLine="1134"/>
        <w:jc w:val="both"/>
      </w:pPr>
      <w:r>
        <w:t xml:space="preserve">U vezi sa tim aktuelni su koncepti </w:t>
      </w:r>
      <w:r w:rsidR="002212EE">
        <w:t>„</w:t>
      </w:r>
      <w:r w:rsidRPr="006D0F4D">
        <w:rPr>
          <w:i/>
        </w:rPr>
        <w:t>kompanije koja kreira znanje</w:t>
      </w:r>
      <w:r>
        <w:t>” (</w:t>
      </w:r>
      <w:r>
        <w:rPr>
          <w:i/>
        </w:rPr>
        <w:t>knowledge-creating company</w:t>
      </w:r>
      <w:r>
        <w:t xml:space="preserve">) i </w:t>
      </w:r>
      <w:r w:rsidR="002212EE">
        <w:t>„</w:t>
      </w:r>
      <w:r w:rsidRPr="006D0F4D">
        <w:rPr>
          <w:i/>
        </w:rPr>
        <w:t>organizacije koja uči</w:t>
      </w:r>
      <w:r>
        <w:t>” (</w:t>
      </w:r>
      <w:r>
        <w:rPr>
          <w:i/>
        </w:rPr>
        <w:t>learning</w:t>
      </w:r>
      <w:r>
        <w:t xml:space="preserve"> </w:t>
      </w:r>
      <w:r>
        <w:rPr>
          <w:i/>
        </w:rPr>
        <w:t>organization</w:t>
      </w:r>
      <w:r>
        <w:t>).</w:t>
      </w:r>
    </w:p>
    <w:p w:rsidR="00ED0DBC" w:rsidRDefault="00ED0DBC" w:rsidP="00ED0DBC">
      <w:pPr>
        <w:ind w:firstLine="720"/>
        <w:jc w:val="both"/>
      </w:pPr>
    </w:p>
    <w:p w:rsidR="00ED0DBC" w:rsidRDefault="00ED0DBC" w:rsidP="00ED0DBC">
      <w:pPr>
        <w:ind w:firstLine="720"/>
        <w:jc w:val="both"/>
      </w:pPr>
    </w:p>
    <w:p w:rsidR="00ED0DBC" w:rsidRDefault="00ED0DBC" w:rsidP="00B31112">
      <w:pPr>
        <w:numPr>
          <w:ilvl w:val="0"/>
          <w:numId w:val="50"/>
        </w:numPr>
        <w:tabs>
          <w:tab w:val="clear" w:pos="360"/>
          <w:tab w:val="num" w:pos="1080"/>
        </w:tabs>
        <w:ind w:firstLine="360"/>
        <w:jc w:val="both"/>
      </w:pPr>
      <w:r>
        <w:rPr>
          <w:b/>
        </w:rPr>
        <w:t>Organizacije koje kreiraju znanje</w:t>
      </w:r>
    </w:p>
    <w:p w:rsidR="00ED0DBC" w:rsidRDefault="00ED0DBC" w:rsidP="00ED0DBC">
      <w:pPr>
        <w:ind w:firstLine="1134"/>
        <w:jc w:val="both"/>
      </w:pPr>
      <w:r>
        <w:t xml:space="preserve">Japanski autori ukazuju na značaj tzv. </w:t>
      </w:r>
      <w:r w:rsidR="002212EE">
        <w:t>„</w:t>
      </w:r>
      <w:r w:rsidRPr="006D0F4D">
        <w:rPr>
          <w:i/>
        </w:rPr>
        <w:t>prećutnog</w:t>
      </w:r>
      <w:r w:rsidR="002212EE">
        <w:t>“</w:t>
      </w:r>
      <w:r>
        <w:t xml:space="preserve"> (implicitnog) znanja.Po njihovom mišljenju teoretičari menadžmenta na Zapadu posmatraju znanje kao </w:t>
      </w:r>
      <w:r w:rsidR="002212EE">
        <w:t>„</w:t>
      </w:r>
      <w:r w:rsidRPr="006D0F4D">
        <w:rPr>
          <w:i/>
        </w:rPr>
        <w:t>eksplicitno</w:t>
      </w:r>
      <w:r w:rsidR="002212EE">
        <w:t>“</w:t>
      </w:r>
      <w:r>
        <w:t xml:space="preserve">, nešto formalno i sistematično. Oni smatraju da je ta vrsta znanja samo </w:t>
      </w:r>
      <w:r w:rsidR="002212EE">
        <w:t>„</w:t>
      </w:r>
      <w:r w:rsidRPr="006D0F4D">
        <w:rPr>
          <w:i/>
        </w:rPr>
        <w:t>vrh ledenog brega</w:t>
      </w:r>
      <w:r w:rsidR="002212EE">
        <w:t>“</w:t>
      </w:r>
      <w:r>
        <w:t>. Suštinu znanja u preduzeću predstavlja prećutno znanje – nešto što se lako ne vidi i izražava. Ono je veoma lično i teško se komunicira. Subjektivno sagledavanje, intuicija i nagađanje spadaju u tu kategoriju znanja. Prećutno znanje je duboko usađeno u akciju i iskustvo preduzeća.</w:t>
      </w:r>
      <w:r>
        <w:rPr>
          <w:rStyle w:val="FootnoteReference"/>
        </w:rPr>
        <w:footnoteReference w:id="7"/>
      </w:r>
    </w:p>
    <w:p w:rsidR="00ED0DBC" w:rsidRDefault="00ED0DBC" w:rsidP="00ED0DBC">
      <w:pPr>
        <w:ind w:firstLine="1134"/>
        <w:jc w:val="both"/>
      </w:pPr>
      <w:r>
        <w:t>Naglašava se da je razlika između eksplicitnog i prećutnog znanja ključ za razumevanje razlike između zapadnog i japanskog pristupa znanju.</w:t>
      </w:r>
    </w:p>
    <w:p w:rsidR="00ED0DBC" w:rsidRDefault="00ED0DBC" w:rsidP="00ED0DBC">
      <w:pPr>
        <w:ind w:firstLine="1134"/>
        <w:jc w:val="both"/>
      </w:pPr>
      <w:r>
        <w:t>Eksplicitno znanje se lako može procesirati uz pomoć računara, preneti elektronski ili odložiti u banku podataka. S druge strane, nema sistematskog i logičkog načina da se prećutno znanje prenosi. Zato je potrebno da se prevede u reči i brojke, da bi svako mogao da ih razume. Upravo je to vreme kada se ta konverzija odvija od prećutnog ka eksplicitnom i nazad ka prećutnom znanju – kada se kreira organizaciono znanje.</w:t>
      </w:r>
    </w:p>
    <w:p w:rsidR="00ED0DBC" w:rsidRDefault="00ED0DBC" w:rsidP="00ED0DBC">
      <w:pPr>
        <w:ind w:firstLine="1134"/>
        <w:jc w:val="both"/>
      </w:pPr>
      <w:r>
        <w:t>Znanje je uvek najpre svojina pojedinca, i da bi postalo organizaciono neophodna je internalizacija. Na Zapadu se internalizacija između prećutnog i eksplicitnog znanja odigrava uglavnom na individualnom nivou, dok se u Japanu to odigava na grupnom nivou. Na Zapadu je proces formalizovan, a u Japanu slobodan. Zaključak je da kada se stvoreni mentalni modeli dele od najvećeg broja zaposlenih, prećutno znanje postaje deo kulture organizacije.</w:t>
      </w:r>
      <w:r>
        <w:rPr>
          <w:rStyle w:val="FootnoteReference"/>
        </w:rPr>
        <w:footnoteReference w:id="8"/>
      </w:r>
    </w:p>
    <w:p w:rsidR="00ED0DBC" w:rsidRDefault="00ED0DBC" w:rsidP="00ED0DBC">
      <w:pPr>
        <w:ind w:firstLine="1134"/>
        <w:jc w:val="both"/>
      </w:pPr>
      <w:r w:rsidRPr="00ED0DBC">
        <w:rPr>
          <w:i/>
        </w:rPr>
        <w:t>Nonaka</w:t>
      </w:r>
      <w:r>
        <w:t xml:space="preserve"> polazi od pretpostavke da u ekonomiji gde je neizvesnost jedina izvesnost, jedina trajna osnova za konkurentnu prednost je znanje. Kada se tržište menja, pojavljuju brojne nove tehnologije, konkurenti umnožavaju, a proizvodi gotovo preko noći zastarevaju, uspešna preduzeća su ona koja kontinuelno kreiraju novo znanje, koje se brzo širi u organizaciji i brzo se pojavljuje u novim tehnologijama i proizvodima. To su aktivnosti koje definišu preduzeće </w:t>
      </w:r>
      <w:r w:rsidR="002212EE">
        <w:t>„</w:t>
      </w:r>
      <w:r w:rsidRPr="00D909E2">
        <w:rPr>
          <w:i/>
        </w:rPr>
        <w:t>stvaraoca odn. kreatora znanja</w:t>
      </w:r>
      <w:r w:rsidR="002212EE">
        <w:t>“</w:t>
      </w:r>
      <w:r>
        <w:t>, čiji je posao kontinuelno inoviranje.</w:t>
      </w:r>
      <w:r>
        <w:rPr>
          <w:rStyle w:val="FootnoteReference"/>
        </w:rPr>
        <w:footnoteReference w:id="9"/>
      </w:r>
    </w:p>
    <w:p w:rsidR="00ED0DBC" w:rsidRDefault="00ED0DBC" w:rsidP="00ED0DBC">
      <w:pPr>
        <w:ind w:firstLine="1134"/>
        <w:jc w:val="both"/>
      </w:pPr>
      <w:r>
        <w:t xml:space="preserve">Suština japanskog pristupa je u činjenici da svaki zaposleni snosi odgovornost za kreiranje znanja, jer je bitno da se lično znanje pojedinca transformiše u organizaciono znanje koje je od koristi za preduzeće. Posledica toga je postizanje potpune interne mobilnosti zaposlenih, što čini da znanje preduzeća postaje više </w:t>
      </w:r>
      <w:r w:rsidR="002212EE">
        <w:t>„</w:t>
      </w:r>
      <w:r w:rsidRPr="00D909E2">
        <w:rPr>
          <w:i/>
        </w:rPr>
        <w:t>fluidno</w:t>
      </w:r>
      <w:r w:rsidR="002212EE">
        <w:t>“</w:t>
      </w:r>
      <w:r>
        <w:t xml:space="preserve"> i efikasnije se koristi u praksi. Stoga se pod organizacionim kreiranjem znanja podrazumeva sposobnost preduzeća kao celine da kreira novo </w:t>
      </w:r>
      <w:r>
        <w:lastRenderedPageBreak/>
        <w:t>znanje i da ga širi u organizaciji, što se ovaploćuje u proizvodima, uslugama i sistemima. Kreiranje znanja se odigrava na tri nivoa: pojedinca, grupe i organizacije.</w:t>
      </w:r>
    </w:p>
    <w:p w:rsidR="00ED0DBC" w:rsidRPr="00ED0DBC" w:rsidRDefault="00ED0DBC" w:rsidP="00ED0DBC">
      <w:pPr>
        <w:ind w:firstLine="1134"/>
        <w:jc w:val="both"/>
        <w:rPr>
          <w:lang w:val="sr-Latn-CS"/>
        </w:rPr>
      </w:pPr>
      <w:r>
        <w:t>Organi</w:t>
      </w:r>
      <w:r>
        <w:rPr>
          <w:lang w:val="sr-Latn-CS"/>
        </w:rPr>
        <w:t>zaciono kreiranje znanja je baza za različite načine inoviranja u japanskim preduzećima. Ona su se pokazala uspešnim u inoviranju kontinuelno, inkrementalno i spiralno. Tako jedna inovacija vodi ka drugoj, dovodeći do kontinuelnog poboljšavanja proizvoda u mnogim granama.</w:t>
      </w:r>
    </w:p>
    <w:p w:rsidR="00ED0DBC" w:rsidRPr="00D80164" w:rsidRDefault="00ED0DBC" w:rsidP="00ED0DBC">
      <w:pPr>
        <w:ind w:firstLine="1134"/>
        <w:jc w:val="both"/>
      </w:pPr>
      <w:r>
        <w:rPr>
          <w:lang w:val="sr-Latn-CS"/>
        </w:rPr>
        <w:t>Neizvesnost koju vreme nosi navodi da se traga za novim znanjima koja se stvaraju van preduzeća. Pribavljeno znanje sa strane mora da se ne samo koristi u bazi preduzeća, već i brzo širi, da bi bilo osnova za stvaranje novih proizvoda i tehnologija. Odvija se svojevrsna konverzija spolja prema unutra i opet spolja ( u formi novih proizvoda usluga i sistema). Logičan redosled je: kreiranje znanja → kontinuelno inoviranje → konkurentna prednost.</w:t>
      </w:r>
    </w:p>
    <w:p w:rsidR="00ED0DBC" w:rsidRDefault="00ED0DBC" w:rsidP="00ED0DBC">
      <w:pPr>
        <w:jc w:val="both"/>
        <w:rPr>
          <w:lang w:val="sr-Latn-CS"/>
        </w:rPr>
      </w:pPr>
    </w:p>
    <w:p w:rsidR="00ED0DBC" w:rsidRPr="00ED0DBC" w:rsidRDefault="00ED0DBC" w:rsidP="00ED0DBC">
      <w:pPr>
        <w:jc w:val="both"/>
        <w:rPr>
          <w:lang w:val="sr-Latn-CS"/>
        </w:rPr>
      </w:pPr>
      <w:r>
        <w:rPr>
          <w:b/>
          <w:lang w:val="sr-Latn-CS"/>
        </w:rPr>
        <w:t xml:space="preserve">           -   Organizacija koja uči (</w:t>
      </w:r>
      <w:r w:rsidRPr="00D909E2">
        <w:rPr>
          <w:b/>
          <w:i/>
          <w:lang w:val="sr-Latn-CS"/>
        </w:rPr>
        <w:t>learning organization</w:t>
      </w:r>
      <w:r>
        <w:rPr>
          <w:b/>
          <w:lang w:val="sr-Latn-CS"/>
        </w:rPr>
        <w:t>)</w:t>
      </w:r>
      <w:r>
        <w:rPr>
          <w:lang w:val="sr-Latn-CS"/>
        </w:rPr>
        <w:t xml:space="preserve"> </w:t>
      </w:r>
    </w:p>
    <w:p w:rsidR="00ED0DBC" w:rsidRDefault="00ED0DBC" w:rsidP="00ED0DBC">
      <w:pPr>
        <w:ind w:firstLine="1134"/>
        <w:jc w:val="both"/>
        <w:rPr>
          <w:lang w:val="sr-Latn-CS"/>
        </w:rPr>
      </w:pPr>
      <w:r>
        <w:rPr>
          <w:lang w:val="sr-Latn-CS"/>
        </w:rPr>
        <w:t xml:space="preserve">Koncept </w:t>
      </w:r>
      <w:r w:rsidR="002212EE">
        <w:rPr>
          <w:lang w:val="sr-Latn-CS"/>
        </w:rPr>
        <w:t>„</w:t>
      </w:r>
      <w:r w:rsidRPr="00D909E2">
        <w:rPr>
          <w:i/>
          <w:lang w:val="sr-Latn-CS"/>
        </w:rPr>
        <w:t>organizacija koja uči</w:t>
      </w:r>
      <w:r w:rsidR="002212EE">
        <w:rPr>
          <w:lang w:val="sr-Latn-CS"/>
        </w:rPr>
        <w:t>“</w:t>
      </w:r>
      <w:r>
        <w:rPr>
          <w:lang w:val="sr-Latn-CS"/>
        </w:rPr>
        <w:t xml:space="preserve"> počeo je najpre da se koristi u nekim velikim preduzećima u privredi SAD. Radi se o preduzećima koja su nastojala da stvore strukture i sisteme koji se bolje prilagođavaju i efikasnije reaguju na promene u eksternoj sredini. Navedeni koncept se dovodi u vezu sa nastojanjem menadžmenta da stvaraju inovativna preduzeća; odnosno menadžment se sve više preokupira stvaranjem atmosfere koja stimulativno utiče na učenje. U kompleksnim preduzećima postoji više procesa učenja i svaki pojedinac i grupa imaju svoju bazu znanja i svoje sposobnosti učenja.</w:t>
      </w:r>
    </w:p>
    <w:p w:rsidR="00ED0DBC" w:rsidRDefault="00ED0DBC" w:rsidP="00ED0DBC">
      <w:pPr>
        <w:ind w:firstLine="1134"/>
        <w:jc w:val="both"/>
        <w:rPr>
          <w:lang w:val="sr-Latn-CS"/>
        </w:rPr>
      </w:pPr>
      <w:r>
        <w:rPr>
          <w:lang w:val="sr-Latn-CS"/>
        </w:rPr>
        <w:t>Navedeni koncept se posebno akceptira kod organizacija koje žele da prate aktuelne promene na tržištu i tehnologiji i koje sagledavaju potrebu svoje transformacije. Učenje je bazična pretpostavka razvijanja suštine kompetentnosti organizacije i smatra se pretpostavkom kontinuelnog poboljšavanja u lancu dodatne vrednosti organizacije. Učenje se posmatra kao proces u organizaciji koja se osposobljava da održava ili poboljšava performanse zasnovane na iskustvu. Predlažu se tri strategije poboljšanja sposobnosti organizacije da uči:</w:t>
      </w:r>
      <w:r>
        <w:rPr>
          <w:rStyle w:val="FootnoteReference"/>
          <w:lang w:val="sr-Latn-CS"/>
        </w:rPr>
        <w:footnoteReference w:id="10"/>
      </w:r>
    </w:p>
    <w:p w:rsidR="00ED0DBC" w:rsidRDefault="00ED0DBC" w:rsidP="00B31112">
      <w:pPr>
        <w:numPr>
          <w:ilvl w:val="0"/>
          <w:numId w:val="49"/>
        </w:numPr>
        <w:jc w:val="both"/>
        <w:rPr>
          <w:lang w:val="sr-Latn-CS"/>
        </w:rPr>
      </w:pPr>
      <w:r>
        <w:rPr>
          <w:lang w:val="sr-Latn-CS"/>
        </w:rPr>
        <w:t>poboljšati orijentaciju učenja;</w:t>
      </w:r>
    </w:p>
    <w:p w:rsidR="00ED0DBC" w:rsidRDefault="00ED0DBC" w:rsidP="00B31112">
      <w:pPr>
        <w:numPr>
          <w:ilvl w:val="0"/>
          <w:numId w:val="49"/>
        </w:numPr>
        <w:jc w:val="both"/>
        <w:rPr>
          <w:lang w:val="sr-Latn-CS"/>
        </w:rPr>
      </w:pPr>
      <w:r>
        <w:rPr>
          <w:lang w:val="sr-Latn-CS"/>
        </w:rPr>
        <w:t>poboljšati faktore koji omogućavaju učenje i</w:t>
      </w:r>
    </w:p>
    <w:p w:rsidR="00ED0DBC" w:rsidRDefault="00ED0DBC" w:rsidP="00B31112">
      <w:pPr>
        <w:numPr>
          <w:ilvl w:val="0"/>
          <w:numId w:val="49"/>
        </w:numPr>
        <w:rPr>
          <w:lang w:val="sr-Latn-CS"/>
        </w:rPr>
      </w:pPr>
      <w:r>
        <w:rPr>
          <w:lang w:val="sr-Latn-CS"/>
        </w:rPr>
        <w:t>menjati oboje – organizaciju učenja i faktore koji omogućavaju učenje.</w:t>
      </w:r>
    </w:p>
    <w:p w:rsidR="00ED0DBC" w:rsidRDefault="00ED0DBC" w:rsidP="00ED0DBC">
      <w:pPr>
        <w:jc w:val="both"/>
        <w:rPr>
          <w:lang w:val="sr-Latn-CS"/>
        </w:rPr>
      </w:pPr>
    </w:p>
    <w:p w:rsidR="00ED0DBC" w:rsidRDefault="00ED0DBC" w:rsidP="00ED0DBC">
      <w:pPr>
        <w:ind w:firstLine="1134"/>
        <w:jc w:val="both"/>
        <w:rPr>
          <w:lang w:val="sr-Latn-CS"/>
        </w:rPr>
      </w:pPr>
      <w:r>
        <w:rPr>
          <w:lang w:val="sr-Latn-CS"/>
        </w:rPr>
        <w:t>Učenje je proces i ishod kada se radi o preduzeću. Učenje se objašnjava                       kao način na koji preduzeće stvara, pribavlja i organizuje znanje i rutine u svojoj aktivnosti. To ima za posledicu razvoj efikasnosti organizacije i poboljšavanje korišćenja široke stručnosti zaposlenih. Preduzeće koje svrsishodno stvara strukturu i strategije, tako da unapređuje i maksimira učenje organizacije, označava se kao – organizacija koja uči.</w:t>
      </w:r>
    </w:p>
    <w:p w:rsidR="00ED0DBC" w:rsidRDefault="00ED0DBC" w:rsidP="00ED0DBC">
      <w:pPr>
        <w:jc w:val="both"/>
        <w:rPr>
          <w:lang w:val="sr-Latn-CS"/>
        </w:rPr>
      </w:pPr>
      <w:r>
        <w:rPr>
          <w:lang w:val="sr-Latn-CS"/>
        </w:rPr>
        <w:t xml:space="preserve">Učenje predstavlja (i sa psihološkog stanovišta) najvišu formu adaptacije, što povećava verovatnoću opstanka u sredini koja se menja; a sposobnost adaptiranja sredini smatra se prvim korakom ka organizaciji koja uči. U takvim organizacijama se otvara proces prevazilaženja podele na </w:t>
      </w:r>
      <w:r w:rsidR="002212EE">
        <w:rPr>
          <w:lang w:val="sr-Latn-CS"/>
        </w:rPr>
        <w:t>„</w:t>
      </w:r>
      <w:r w:rsidRPr="00D909E2">
        <w:rPr>
          <w:i/>
          <w:lang w:val="sr-Latn-CS"/>
        </w:rPr>
        <w:t>one koji misle i one koji izvršavaju zamisli</w:t>
      </w:r>
      <w:r w:rsidR="002212EE">
        <w:rPr>
          <w:lang w:val="sr-Latn-CS"/>
        </w:rPr>
        <w:t>“</w:t>
      </w:r>
      <w:r>
        <w:rPr>
          <w:lang w:val="sr-Latn-CS"/>
        </w:rPr>
        <w:t>. Orijentacija je ka integralnom razmišljanju i akcijama na svim nivoima u organizacionoj strukturi preduzeća.</w:t>
      </w:r>
      <w:r>
        <w:rPr>
          <w:rStyle w:val="FootnoteReference"/>
          <w:lang w:val="sr-Latn-CS"/>
        </w:rPr>
        <w:footnoteReference w:id="11"/>
      </w:r>
    </w:p>
    <w:p w:rsidR="00ED0DBC" w:rsidRDefault="00ED0DBC" w:rsidP="00ED0DBC">
      <w:pPr>
        <w:jc w:val="both"/>
        <w:rPr>
          <w:lang w:val="sr-Latn-CS"/>
        </w:rPr>
      </w:pPr>
      <w:r>
        <w:rPr>
          <w:lang w:val="sr-Latn-CS"/>
        </w:rPr>
        <w:t>Učenje takođe podrazumeva odvajanje vremena za promišljanje i analizu, za preispitivanje strategijskih opcija, istraživanje potreba potrošača, procenjivanje postojećeg sistema rada i za pronalaženje novih proizvoda. Neophodno je da se u procesu učenja maksimalno otvore granice organizacije i da se stimuliše razmena ideja preko projektnih timova i susreta sa kupcima (snabdevačima); što povećava mogućnost uspešnog sagledavanja konkurentskih perspektiva.</w:t>
      </w:r>
    </w:p>
    <w:p w:rsidR="00ED0DBC" w:rsidRDefault="00ED0DBC" w:rsidP="00ED0DBC">
      <w:pPr>
        <w:ind w:firstLine="1134"/>
        <w:jc w:val="both"/>
        <w:rPr>
          <w:lang w:val="sr-Latn-CS"/>
        </w:rPr>
      </w:pPr>
      <w:r>
        <w:rPr>
          <w:lang w:val="sr-Latn-CS"/>
        </w:rPr>
        <w:lastRenderedPageBreak/>
        <w:t>U uslovima ovakvog podražavajućeg, otvorenog okruženja, uspešno se mogu razvijati forumi za učenje, kao što su: strategijska ispitivanja promenljivog konkurentskog okruženja, portfolia proizvoda, tehnoloških promena i tržišne pozicije preduzeća; analiza međufunkcionalnih procesa i sistema isporuke; proučavanje misija najuspešnijih kompanija da bi se bolje razumele njihove distinktivne kompetencije i rezultati poslovanja.</w:t>
      </w:r>
      <w:r>
        <w:rPr>
          <w:rStyle w:val="FootnoteReference"/>
          <w:lang w:val="sr-Latn-CS"/>
        </w:rPr>
        <w:footnoteReference w:id="12"/>
      </w:r>
    </w:p>
    <w:p w:rsidR="00ED0DBC" w:rsidRDefault="00ED0DBC" w:rsidP="00ED0DBC">
      <w:pPr>
        <w:ind w:firstLine="1134"/>
        <w:jc w:val="both"/>
        <w:rPr>
          <w:lang w:val="sr-Latn-CS"/>
        </w:rPr>
      </w:pPr>
      <w:r>
        <w:rPr>
          <w:lang w:val="sr-Latn-CS"/>
        </w:rPr>
        <w:t xml:space="preserve">Učenje je u suštini investiranje u ljudski kapital (human capital ) koji spada u nematerijalnu aktivu, i u bilansu stanja se može inkorporirati u poziciju </w:t>
      </w:r>
      <w:r w:rsidR="002212EE">
        <w:rPr>
          <w:lang w:val="sr-Latn-CS"/>
        </w:rPr>
        <w:t>„</w:t>
      </w:r>
      <w:r w:rsidRPr="00D909E2">
        <w:rPr>
          <w:i/>
          <w:lang w:val="sr-Latn-CS"/>
        </w:rPr>
        <w:t>goodwill</w:t>
      </w:r>
      <w:r w:rsidR="002212EE">
        <w:rPr>
          <w:lang w:val="sr-Latn-CS"/>
        </w:rPr>
        <w:t>“</w:t>
      </w:r>
      <w:r>
        <w:rPr>
          <w:lang w:val="sr-Latn-CS"/>
        </w:rPr>
        <w:t>, što u globalnoj privredi postaje najbitniji faktor za stvaranje relativno trajne konkurentne prednosti.</w:t>
      </w:r>
    </w:p>
    <w:p w:rsidR="00ED0DBC" w:rsidRDefault="00ED0DBC" w:rsidP="00ED0DBC">
      <w:pPr>
        <w:ind w:firstLine="1134"/>
        <w:jc w:val="both"/>
        <w:rPr>
          <w:lang w:val="sr-Latn-CS"/>
        </w:rPr>
      </w:pPr>
      <w:r>
        <w:rPr>
          <w:lang w:val="sr-Latn-CS"/>
        </w:rPr>
        <w:t xml:space="preserve">Međutim, potreno je razgraničiti </w:t>
      </w:r>
      <w:r w:rsidR="002212EE">
        <w:rPr>
          <w:lang w:val="sr-Latn-CS"/>
        </w:rPr>
        <w:t>„</w:t>
      </w:r>
      <w:r w:rsidRPr="00D909E2">
        <w:rPr>
          <w:i/>
          <w:lang w:val="sr-Latn-CS"/>
        </w:rPr>
        <w:t>organizaciono učenje</w:t>
      </w:r>
      <w:r w:rsidR="002212EE">
        <w:rPr>
          <w:lang w:val="sr-Latn-CS"/>
        </w:rPr>
        <w:t>“</w:t>
      </w:r>
      <w:r>
        <w:rPr>
          <w:lang w:val="sr-Latn-CS"/>
        </w:rPr>
        <w:t xml:space="preserve"> od </w:t>
      </w:r>
      <w:r w:rsidR="002212EE">
        <w:rPr>
          <w:lang w:val="sr-Latn-CS"/>
        </w:rPr>
        <w:t>„</w:t>
      </w:r>
      <w:r w:rsidRPr="00D909E2">
        <w:rPr>
          <w:i/>
          <w:lang w:val="sr-Latn-CS"/>
        </w:rPr>
        <w:t>organizacije koja uči</w:t>
      </w:r>
      <w:r w:rsidR="002212EE">
        <w:rPr>
          <w:lang w:val="sr-Latn-CS"/>
        </w:rPr>
        <w:t>“</w:t>
      </w:r>
      <w:r>
        <w:rPr>
          <w:lang w:val="sr-Latn-CS"/>
        </w:rPr>
        <w:t>. U prvom slučaju radi se o obuci za</w:t>
      </w:r>
      <w:r w:rsidR="003D409B">
        <w:rPr>
          <w:lang w:val="sr-Latn-CS"/>
        </w:rPr>
        <w:t>poslenih u preduzeću da stiču z</w:t>
      </w:r>
      <w:r>
        <w:rPr>
          <w:lang w:val="sr-Latn-CS"/>
        </w:rPr>
        <w:t xml:space="preserve">nanja o međuljudskim odnosima, pre svega. U </w:t>
      </w:r>
      <w:r w:rsidR="002212EE">
        <w:rPr>
          <w:lang w:val="sr-Latn-CS"/>
        </w:rPr>
        <w:t>„</w:t>
      </w:r>
      <w:r w:rsidRPr="00D909E2">
        <w:rPr>
          <w:i/>
          <w:lang w:val="sr-Latn-CS"/>
        </w:rPr>
        <w:t>organizaciji koja uči</w:t>
      </w:r>
      <w:r w:rsidR="002212EE">
        <w:rPr>
          <w:lang w:val="sr-Latn-CS"/>
        </w:rPr>
        <w:t>“</w:t>
      </w:r>
      <w:r>
        <w:rPr>
          <w:lang w:val="sr-Latn-CS"/>
        </w:rPr>
        <w:t xml:space="preserve"> ljudi stiču znanje i stručnost tokom obavljanja svojih svakodnevnih poslova. To su organizacije koncentrisane na promene inovativnog karaktera. Organizacija koja uči omogućava sticanje znanja i stručnosti svim zaposlenim i kontinuelno se transformiše.</w:t>
      </w:r>
    </w:p>
    <w:p w:rsidR="00ED0DBC" w:rsidRDefault="00ED0DBC" w:rsidP="00ED0DBC">
      <w:pPr>
        <w:ind w:firstLine="1134"/>
        <w:jc w:val="both"/>
        <w:rPr>
          <w:lang w:val="sr-Latn-CS"/>
        </w:rPr>
      </w:pPr>
      <w:r>
        <w:rPr>
          <w:lang w:val="sr-Latn-CS"/>
        </w:rPr>
        <w:t xml:space="preserve">Prema </w:t>
      </w:r>
      <w:r w:rsidRPr="003C7452">
        <w:rPr>
          <w:i/>
          <w:lang w:val="sr-Latn-CS"/>
        </w:rPr>
        <w:t>Senge</w:t>
      </w:r>
      <w:r>
        <w:rPr>
          <w:lang w:val="sr-Latn-CS"/>
        </w:rPr>
        <w:t>-u treba poći od postulata da svet nije sačinjen od pojedinačnih nepovezanih snaga. Tek tada se može stvarati organizacija koja uči. U njoj pojedinci kontinuelno proširuju sv</w:t>
      </w:r>
      <w:r w:rsidR="003D409B">
        <w:rPr>
          <w:lang w:val="sr-Latn-CS"/>
        </w:rPr>
        <w:t>o</w:t>
      </w:r>
      <w:r>
        <w:rPr>
          <w:lang w:val="sr-Latn-CS"/>
        </w:rPr>
        <w:t xml:space="preserve">j kapacitet da </w:t>
      </w:r>
      <w:r w:rsidR="003D409B">
        <w:rPr>
          <w:lang w:val="sr-Latn-CS"/>
        </w:rPr>
        <w:t xml:space="preserve">bi </w:t>
      </w:r>
      <w:r>
        <w:rPr>
          <w:lang w:val="sr-Latn-CS"/>
        </w:rPr>
        <w:t>ostvar</w:t>
      </w:r>
      <w:r w:rsidR="003D409B">
        <w:rPr>
          <w:lang w:val="sr-Latn-CS"/>
        </w:rPr>
        <w:t>ili</w:t>
      </w:r>
      <w:r>
        <w:rPr>
          <w:lang w:val="sr-Latn-CS"/>
        </w:rPr>
        <w:t xml:space="preserve"> rezultate koje stvarno žele, u kojoj se gradi novi fleksibilan način razmišljanja, gde se kolektivne aspiracije slobodno definišu i u ko</w:t>
      </w:r>
      <w:r w:rsidR="003D409B">
        <w:rPr>
          <w:lang w:val="sr-Latn-CS"/>
        </w:rPr>
        <w:t xml:space="preserve">joj ljudi kontinuelno uče kako </w:t>
      </w:r>
      <w:r>
        <w:rPr>
          <w:lang w:val="sr-Latn-CS"/>
        </w:rPr>
        <w:t>da uče zajedno. On ističe značaj timskog učenja, jer su timov</w:t>
      </w:r>
      <w:r w:rsidR="003D409B">
        <w:rPr>
          <w:lang w:val="sr-Latn-CS"/>
        </w:rPr>
        <w:t>i</w:t>
      </w:r>
      <w:r>
        <w:rPr>
          <w:lang w:val="sr-Latn-CS"/>
        </w:rPr>
        <w:t xml:space="preserve">, a ne pojedinci bazične jedinice koje uče u savremenoj organizaciji. U okviru organizacije koja uči, tim </w:t>
      </w:r>
      <w:r w:rsidR="003D409B">
        <w:rPr>
          <w:lang w:val="sr-Latn-CS"/>
        </w:rPr>
        <w:t>ima tri kritične karakteristike</w:t>
      </w:r>
      <w:r>
        <w:rPr>
          <w:lang w:val="sr-Latn-CS"/>
        </w:rPr>
        <w:t>:</w:t>
      </w:r>
    </w:p>
    <w:p w:rsidR="00ED0DBC" w:rsidRDefault="00ED0DBC" w:rsidP="00B31112">
      <w:pPr>
        <w:numPr>
          <w:ilvl w:val="0"/>
          <w:numId w:val="48"/>
        </w:numPr>
        <w:tabs>
          <w:tab w:val="clear" w:pos="1080"/>
          <w:tab w:val="num" w:pos="900"/>
        </w:tabs>
        <w:ind w:left="900"/>
        <w:jc w:val="both"/>
        <w:rPr>
          <w:lang w:val="sr-Latn-CS"/>
        </w:rPr>
      </w:pPr>
      <w:r>
        <w:rPr>
          <w:lang w:val="sr-Latn-CS"/>
        </w:rPr>
        <w:t>prva je, da postoji razumevanje za potrebu da se sadržajno razmišlja o kompleksnim pitanjima;</w:t>
      </w:r>
    </w:p>
    <w:p w:rsidR="00ED0DBC" w:rsidRDefault="00ED0DBC" w:rsidP="00B31112">
      <w:pPr>
        <w:numPr>
          <w:ilvl w:val="0"/>
          <w:numId w:val="48"/>
        </w:numPr>
        <w:tabs>
          <w:tab w:val="clear" w:pos="1080"/>
          <w:tab w:val="num" w:pos="900"/>
        </w:tabs>
        <w:ind w:left="900"/>
        <w:jc w:val="both"/>
        <w:rPr>
          <w:lang w:val="sr-Latn-CS"/>
        </w:rPr>
      </w:pPr>
      <w:r>
        <w:rPr>
          <w:lang w:val="sr-Latn-CS"/>
        </w:rPr>
        <w:t>druga je, potreba za koordiniranom inovativnom aktivnošću</w:t>
      </w:r>
    </w:p>
    <w:p w:rsidR="00ED0DBC" w:rsidRDefault="00ED0DBC" w:rsidP="00B31112">
      <w:pPr>
        <w:numPr>
          <w:ilvl w:val="0"/>
          <w:numId w:val="48"/>
        </w:numPr>
        <w:tabs>
          <w:tab w:val="clear" w:pos="1080"/>
          <w:tab w:val="num" w:pos="900"/>
        </w:tabs>
        <w:ind w:left="900"/>
        <w:jc w:val="both"/>
        <w:rPr>
          <w:lang w:val="sr-Latn-CS"/>
        </w:rPr>
      </w:pPr>
      <w:r>
        <w:rPr>
          <w:lang w:val="sr-Latn-CS"/>
        </w:rPr>
        <w:t>treća je, da postoji uticaj članova tima na druge članove.</w:t>
      </w:r>
    </w:p>
    <w:p w:rsidR="00ED0DBC" w:rsidRDefault="00ED0DBC" w:rsidP="00ED0DBC">
      <w:pPr>
        <w:jc w:val="both"/>
        <w:rPr>
          <w:lang w:val="sr-Latn-CS"/>
        </w:rPr>
      </w:pPr>
    </w:p>
    <w:p w:rsidR="00ED0DBC" w:rsidRDefault="00ED0DBC" w:rsidP="00ED0DBC">
      <w:pPr>
        <w:ind w:firstLine="1134"/>
        <w:jc w:val="both"/>
        <w:rPr>
          <w:lang w:val="sr-Latn-CS"/>
        </w:rPr>
      </w:pPr>
      <w:r>
        <w:rPr>
          <w:lang w:val="sr-Latn-CS"/>
        </w:rPr>
        <w:t xml:space="preserve">Prema navedenom autoru </w:t>
      </w:r>
      <w:r w:rsidR="002212EE">
        <w:rPr>
          <w:lang w:val="sr-Latn-CS"/>
        </w:rPr>
        <w:t>„</w:t>
      </w:r>
      <w:r w:rsidRPr="003C7452">
        <w:rPr>
          <w:i/>
          <w:lang w:val="sr-Latn-CS"/>
        </w:rPr>
        <w:t>organizacija koja uči podstiče kontinuelno učenje i generisanje znanja na svim nivoima; Poseduje procese koji mogu lako da prenesu znanje širom organizacije – tamo gde je ono potrebno, kao i da brzo transformišu to znanje u promene načina na koji organizacija deluje, i interno i eksterno. Na ovaj način se proširuje strategijski značaj informacije, podučavanje i najbolja praksa</w:t>
      </w:r>
      <w:r w:rsidR="002212EE">
        <w:rPr>
          <w:lang w:val="sr-Latn-CS"/>
        </w:rPr>
        <w:t>“</w:t>
      </w:r>
      <w:r>
        <w:rPr>
          <w:lang w:val="sr-Latn-CS"/>
        </w:rPr>
        <w:t>.</w:t>
      </w:r>
      <w:r>
        <w:rPr>
          <w:rStyle w:val="FootnoteReference"/>
          <w:lang w:val="sr-Latn-CS"/>
        </w:rPr>
        <w:footnoteReference w:id="13"/>
      </w:r>
    </w:p>
    <w:p w:rsidR="00ED0DBC" w:rsidRDefault="00ED0DBC" w:rsidP="00ED0DBC">
      <w:pPr>
        <w:ind w:firstLine="1134"/>
        <w:jc w:val="both"/>
        <w:rPr>
          <w:lang w:val="sr-Latn-CS"/>
        </w:rPr>
      </w:pPr>
      <w:r>
        <w:rPr>
          <w:lang w:val="sr-Latn-CS"/>
        </w:rPr>
        <w:t xml:space="preserve">Petom disciplinom </w:t>
      </w:r>
      <w:r w:rsidRPr="000C018C">
        <w:rPr>
          <w:i/>
          <w:lang w:val="sr-Latn-CS"/>
        </w:rPr>
        <w:t>Senge</w:t>
      </w:r>
      <w:r>
        <w:rPr>
          <w:lang w:val="sr-Latn-CS"/>
        </w:rPr>
        <w:t xml:space="preserve"> naziva sistem razmišljanja. To je disciplina koja integriše sve discipline u koherentnu celinu teorije i prakse. Akcenat je na tzv. Sistemskom razmišljanju, a ono je nužnost kada ljudi stvaraju zajedničku viziju, mentalne modele, timski uče i poboljšavaju ličnu sposobnost. Lična umešnost svakog zaposlenog je veoma bitna, jer kultiviše učenje da objedinjuje oboje – ličnu viziju i jasnu sliku postojeće realnosti. U pojedincima se na taj način generiše snaga koja se može nazvati </w:t>
      </w:r>
      <w:r w:rsidR="002212EE">
        <w:rPr>
          <w:lang w:val="sr-Latn-CS"/>
        </w:rPr>
        <w:t>„</w:t>
      </w:r>
      <w:r w:rsidRPr="003C7452">
        <w:rPr>
          <w:i/>
          <w:lang w:val="sr-Latn-CS"/>
        </w:rPr>
        <w:t>kreativna tenzija</w:t>
      </w:r>
      <w:r w:rsidR="002212EE">
        <w:rPr>
          <w:lang w:val="sr-Latn-CS"/>
        </w:rPr>
        <w:t>“</w:t>
      </w:r>
      <w:r>
        <w:rPr>
          <w:lang w:val="sr-Latn-CS"/>
        </w:rPr>
        <w:t>.</w:t>
      </w:r>
      <w:r>
        <w:rPr>
          <w:rStyle w:val="FootnoteReference"/>
          <w:lang w:val="sr-Latn-CS"/>
        </w:rPr>
        <w:footnoteReference w:id="14"/>
      </w:r>
    </w:p>
    <w:p w:rsidR="00ED0DBC" w:rsidRDefault="00ED0DBC" w:rsidP="00ED0DBC">
      <w:pPr>
        <w:ind w:firstLine="1134"/>
        <w:jc w:val="both"/>
        <w:rPr>
          <w:lang w:val="sr-Latn-CS"/>
        </w:rPr>
      </w:pPr>
      <w:r w:rsidRPr="00ED0DBC">
        <w:rPr>
          <w:lang w:val="sr-Latn-CS"/>
        </w:rPr>
        <w:t>P</w:t>
      </w:r>
      <w:r w:rsidR="003D409B">
        <w:rPr>
          <w:lang w:val="sr-Latn-CS"/>
        </w:rPr>
        <w:t>rema</w:t>
      </w:r>
      <w:r w:rsidRPr="00ED0DBC">
        <w:rPr>
          <w:lang w:val="sr-Latn-CS"/>
        </w:rPr>
        <w:t xml:space="preserve"> </w:t>
      </w:r>
      <w:r w:rsidRPr="00ED0DBC">
        <w:rPr>
          <w:i/>
          <w:lang w:val="sr-Latn-CS"/>
        </w:rPr>
        <w:t>D. Garvin</w:t>
      </w:r>
      <w:r w:rsidRPr="00ED0DBC">
        <w:rPr>
          <w:lang w:val="sr-Latn-CS"/>
        </w:rPr>
        <w:t xml:space="preserve">-u organizacija koja uči je </w:t>
      </w:r>
      <w:r w:rsidR="002212EE">
        <w:rPr>
          <w:lang w:val="sr-Latn-CS"/>
        </w:rPr>
        <w:t>„</w:t>
      </w:r>
      <w:r w:rsidRPr="00ED0DBC">
        <w:rPr>
          <w:i/>
          <w:lang w:val="sr-Latn-CS"/>
        </w:rPr>
        <w:t xml:space="preserve">vešta u kreiranju, prihvatanju i prenošenju novog znanja, kao i u modifikovanju svog ponašanja da bi ono odrazilo nove uvide i saznanja”, </w:t>
      </w:r>
      <w:r w:rsidRPr="00ED0DBC">
        <w:rPr>
          <w:lang w:val="sr-Latn-CS"/>
        </w:rPr>
        <w:t>odnosno u primeni znanja u sopstvenoj delatnosti.</w:t>
      </w:r>
      <w:r>
        <w:rPr>
          <w:rStyle w:val="FootnoteReference"/>
        </w:rPr>
        <w:footnoteReference w:id="15"/>
      </w:r>
      <w:r w:rsidRPr="00ED0DBC">
        <w:rPr>
          <w:lang w:val="sr-Latn-CS"/>
        </w:rPr>
        <w:t xml:space="preserve"> </w:t>
      </w:r>
    </w:p>
    <w:p w:rsidR="00ED0DBC" w:rsidRDefault="00ED0DBC" w:rsidP="00ED0DBC">
      <w:pPr>
        <w:ind w:firstLine="1134"/>
        <w:jc w:val="both"/>
        <w:rPr>
          <w:lang w:val="sr-Latn-CS"/>
        </w:rPr>
      </w:pPr>
      <w:r w:rsidRPr="00ED0DBC">
        <w:rPr>
          <w:i/>
          <w:lang w:val="sr-Latn-CS"/>
        </w:rPr>
        <w:t>Mahoni</w:t>
      </w:r>
      <w:r>
        <w:rPr>
          <w:lang w:val="sr-Latn-CS"/>
        </w:rPr>
        <w:t xml:space="preserve"> ističe da je najtrajnija suština kompetentnosti - učenje organizacije. Učenje je proces u kome se od zaposlenih deli razumevanje promene. Znanje u glavama zaposlenih u kombinaciji sa tehničkim sistemima je osnova suštine kompetentnosti preduzeća. Praktična pozitivna konsekvenca učenja organizacije je sadržana u efektima poboljšanja akcije, putem većeg </w:t>
      </w:r>
      <w:r>
        <w:rPr>
          <w:lang w:val="sr-Latn-CS"/>
        </w:rPr>
        <w:lastRenderedPageBreak/>
        <w:t xml:space="preserve">znanja i razumevanja. Iako se učenje organizacije odvija preko zaposlenih, ono nije prosta suma znanja postojećih zaposlenih. Naučeno je ugrađeno u rutinu preduzeća, a ona omogućava da ono </w:t>
      </w:r>
      <w:r w:rsidR="002212EE">
        <w:rPr>
          <w:lang w:val="sr-Latn-CS"/>
        </w:rPr>
        <w:t>„</w:t>
      </w:r>
      <w:r w:rsidRPr="003C7452">
        <w:rPr>
          <w:i/>
          <w:lang w:val="sr-Latn-CS"/>
        </w:rPr>
        <w:t>pamti radeći</w:t>
      </w:r>
      <w:r w:rsidR="002212EE">
        <w:rPr>
          <w:lang w:val="sr-Latn-CS"/>
        </w:rPr>
        <w:t>“</w:t>
      </w:r>
      <w:r>
        <w:rPr>
          <w:lang w:val="sr-Latn-CS"/>
        </w:rPr>
        <w:t>. Teško je planirati, pa i predvideti buduće znanje. Smatra se da učenje nije ni determinističko, ni randomno. Jedan deo učenja je zasnovan na eksperimentu, a drugi na upoznavanju sa postojećim znanjem.</w:t>
      </w:r>
      <w:r>
        <w:rPr>
          <w:rStyle w:val="FootnoteReference"/>
          <w:lang w:val="sr-Latn-CS"/>
        </w:rPr>
        <w:footnoteReference w:id="16"/>
      </w:r>
    </w:p>
    <w:p w:rsidR="00ED0DBC" w:rsidRDefault="00ED0DBC" w:rsidP="003D409B">
      <w:pPr>
        <w:ind w:firstLine="1134"/>
        <w:jc w:val="both"/>
        <w:rPr>
          <w:lang w:val="sr-Latn-CS"/>
        </w:rPr>
      </w:pPr>
      <w:r>
        <w:rPr>
          <w:lang w:val="sr-Latn-CS"/>
        </w:rPr>
        <w:t xml:space="preserve">Sve napred rečeno upućuje na zaključak da transformacija organizacija na načine koji favorizuju: učenje, reagovanje na promene i izazove i inovacije proizvoda i procesa, glavni je aspekt svrhe preduzeća u savremenim uslovima privređivanja. Organizacija koja uči sposobna je da održava konzistentnim interno inoviranje ili učenje sa neposrednim ciljevima poboljšanja kvaliteta kontakta sa potršačima i održavanje rentabilnosti. Potrebno je da se u savremenoj globalnoj privredi uči brže od konkurenata. </w:t>
      </w:r>
    </w:p>
    <w:p w:rsidR="00ED0DBC" w:rsidRPr="00ED3F05" w:rsidRDefault="00ED0DBC" w:rsidP="00ED0DBC">
      <w:pPr>
        <w:jc w:val="both"/>
        <w:rPr>
          <w:lang w:val="sr-Latn-CS"/>
        </w:rPr>
      </w:pPr>
      <w:r w:rsidRPr="00ED3F05">
        <w:rPr>
          <w:lang w:val="sr-Latn-CS"/>
        </w:rPr>
        <w:tab/>
      </w:r>
    </w:p>
    <w:p w:rsidR="00CB5DE6" w:rsidRPr="00AE5287" w:rsidRDefault="00CB5DE6" w:rsidP="008127D0">
      <w:pPr>
        <w:jc w:val="both"/>
      </w:pPr>
    </w:p>
    <w:sectPr w:rsidR="00CB5DE6" w:rsidRPr="00AE5287" w:rsidSect="00AF75C9">
      <w:headerReference w:type="default" r:id="rId8"/>
      <w:footerReference w:type="even" r:id="rId9"/>
      <w:footerReference w:type="default" r:id="rId10"/>
      <w:pgSz w:w="12240" w:h="15840"/>
      <w:pgMar w:top="1134" w:right="1134" w:bottom="1134" w:left="1418" w:header="709" w:footer="709" w:gutter="0"/>
      <w:pgNumType w:start="1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C1E" w:rsidRDefault="00163C1E">
      <w:r>
        <w:separator/>
      </w:r>
    </w:p>
  </w:endnote>
  <w:endnote w:type="continuationSeparator" w:id="1">
    <w:p w:rsidR="00163C1E" w:rsidRDefault="0016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EE" w:rsidRDefault="00967137" w:rsidP="00AF75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12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12EE" w:rsidRDefault="002212EE" w:rsidP="00DE57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EE" w:rsidRPr="00071113" w:rsidRDefault="002212EE" w:rsidP="00644885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</w:p>
  <w:p w:rsidR="002212EE" w:rsidRDefault="002212EE" w:rsidP="00AF75C9">
    <w:pPr>
      <w:pStyle w:val="Footer"/>
      <w:framePr w:wrap="around" w:vAnchor="text" w:hAnchor="margin" w:xAlign="center" w:y="1"/>
      <w:rPr>
        <w:rStyle w:val="PageNumber"/>
      </w:rPr>
    </w:pPr>
  </w:p>
  <w:p w:rsidR="002212EE" w:rsidRDefault="002212EE" w:rsidP="00DE57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C1E" w:rsidRDefault="00163C1E">
      <w:r>
        <w:separator/>
      </w:r>
    </w:p>
  </w:footnote>
  <w:footnote w:type="continuationSeparator" w:id="1">
    <w:p w:rsidR="00163C1E" w:rsidRDefault="00163C1E">
      <w:r>
        <w:continuationSeparator/>
      </w:r>
    </w:p>
  </w:footnote>
  <w:footnote w:id="2">
    <w:p w:rsidR="002212EE" w:rsidRPr="006D0F4D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Drucker, F. P., </w:t>
      </w:r>
      <w:r>
        <w:rPr>
          <w:b/>
        </w:rPr>
        <w:t>The New Society of Organizations</w:t>
      </w:r>
      <w:r>
        <w:t>, Harvard Business Review, September – October 1992, str. 96.</w:t>
      </w:r>
    </w:p>
  </w:footnote>
  <w:footnote w:id="3">
    <w:p w:rsidR="002212EE" w:rsidRPr="006D0F4D" w:rsidRDefault="002212EE" w:rsidP="00ED0DB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Isto, str. 105.</w:t>
      </w:r>
    </w:p>
  </w:footnote>
  <w:footnote w:id="4">
    <w:p w:rsidR="002212EE" w:rsidRPr="006D0F4D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Drucker, F. P., </w:t>
      </w:r>
      <w:r>
        <w:rPr>
          <w:b/>
        </w:rPr>
        <w:t>Razvoj društva znanja</w:t>
      </w:r>
      <w:r>
        <w:t>, pregled br. 267, 1994, str. 79.</w:t>
      </w:r>
    </w:p>
  </w:footnote>
  <w:footnote w:id="5">
    <w:p w:rsidR="002212EE" w:rsidRPr="006D0F4D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Mc Dermott, R., </w:t>
      </w:r>
      <w:r>
        <w:rPr>
          <w:b/>
        </w:rPr>
        <w:t>Why Information Technology Inspired But Cannot Deliver Knowledge Management</w:t>
      </w:r>
      <w:r>
        <w:t xml:space="preserve">, Californija Management Review, Summer, 1999, str. 103; navedeno prema, Milisavljević, M., </w:t>
      </w:r>
      <w:r>
        <w:rPr>
          <w:b/>
        </w:rPr>
        <w:t>Savremeni strategijski menadžment</w:t>
      </w:r>
      <w:r>
        <w:t xml:space="preserve">, Institut ekonomskih nauka, </w:t>
      </w:r>
      <w:smartTag w:uri="urn:schemas-microsoft-com:office:smarttags" w:element="place">
        <w:r>
          <w:t>Beograd</w:t>
        </w:r>
      </w:smartTag>
      <w:r>
        <w:t>, 2002, str. 305.</w:t>
      </w:r>
    </w:p>
  </w:footnote>
  <w:footnote w:id="6">
    <w:p w:rsidR="002212EE" w:rsidRPr="006D0F4D" w:rsidRDefault="002212EE" w:rsidP="00ED0DBC">
      <w:pPr>
        <w:pStyle w:val="FootnoteText"/>
        <w:jc w:val="both"/>
        <w:rPr>
          <w:color w:val="000000"/>
        </w:rPr>
      </w:pPr>
      <w:r>
        <w:rPr>
          <w:rStyle w:val="FootnoteReference"/>
          <w:b/>
          <w:i/>
        </w:rPr>
        <w:footnoteRef/>
      </w:r>
      <w:r>
        <w:rPr>
          <w:b/>
          <w:i/>
        </w:rPr>
        <w:t xml:space="preserve"> </w:t>
      </w:r>
      <w:r w:rsidRPr="006D0F4D">
        <w:t>Jandrić</w:t>
      </w:r>
      <w:r>
        <w:t>,</w:t>
      </w:r>
      <w:r w:rsidRPr="006D0F4D">
        <w:t xml:space="preserve"> M.</w:t>
      </w:r>
      <w:r>
        <w:t xml:space="preserve">, </w:t>
      </w:r>
      <w:r w:rsidRPr="006D0F4D">
        <w:rPr>
          <w:b/>
        </w:rPr>
        <w:t xml:space="preserve">Osnovni ciljevi i opredeljenja programa ekonomske stabilizacije sa kvantitativnom osnovom </w:t>
      </w:r>
      <w:r w:rsidRPr="006D0F4D">
        <w:rPr>
          <w:b/>
          <w:color w:val="000000"/>
        </w:rPr>
        <w:t>politike stabilizacije i razvoja</w:t>
      </w:r>
      <w:r>
        <w:rPr>
          <w:color w:val="000000"/>
        </w:rPr>
        <w:t xml:space="preserve">, </w:t>
      </w:r>
      <w:r w:rsidRPr="006D0F4D">
        <w:rPr>
          <w:color w:val="000000"/>
        </w:rPr>
        <w:t xml:space="preserve">(zbornik radova), </w:t>
      </w:r>
      <w:smartTag w:uri="urn:schemas-microsoft-com:office:smarttags" w:element="place">
        <w:r w:rsidRPr="006D0F4D">
          <w:rPr>
            <w:color w:val="000000"/>
          </w:rPr>
          <w:t>Beograd</w:t>
        </w:r>
      </w:smartTag>
      <w:r w:rsidRPr="006D0F4D">
        <w:rPr>
          <w:color w:val="000000"/>
        </w:rPr>
        <w:t>, 1996.</w:t>
      </w:r>
      <w:r>
        <w:rPr>
          <w:color w:val="000000"/>
        </w:rPr>
        <w:t>, str. 102.</w:t>
      </w:r>
    </w:p>
  </w:footnote>
  <w:footnote w:id="7">
    <w:p w:rsidR="002212EE" w:rsidRPr="006D0F4D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Nahapat, J. and Ghoshal, S., </w:t>
      </w:r>
      <w:r>
        <w:rPr>
          <w:b/>
        </w:rPr>
        <w:t>Social Capital, intellectual Capital and Creation of Value in Firms</w:t>
      </w:r>
      <w:r>
        <w:t xml:space="preserve">, </w:t>
      </w:r>
      <w:smartTag w:uri="urn:schemas-microsoft-com:office:smarttags" w:element="PlaceType">
        <w:r>
          <w:t>Academy</w:t>
        </w:r>
      </w:smartTag>
      <w:r>
        <w:t xml:space="preserve"> of </w:t>
      </w:r>
      <w:smartTag w:uri="urn:schemas-microsoft-com:office:smarttags" w:element="PlaceName">
        <w:r>
          <w:t>Management Procidings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>, 1997., str. 204.</w:t>
      </w:r>
    </w:p>
  </w:footnote>
  <w:footnote w:id="8">
    <w:p w:rsidR="002212EE" w:rsidRPr="006D0F4D" w:rsidRDefault="002212EE" w:rsidP="00ED0DB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Milisavljević, M., </w:t>
      </w:r>
      <w:r>
        <w:rPr>
          <w:b/>
        </w:rPr>
        <w:t>Savremeni strategijski menadžment</w:t>
      </w:r>
      <w:r>
        <w:t xml:space="preserve">, Institut ekonomskih nauka, </w:t>
      </w:r>
      <w:smartTag w:uri="urn:schemas-microsoft-com:office:smarttags" w:element="place">
        <w:r>
          <w:t>Beograd</w:t>
        </w:r>
      </w:smartTag>
      <w:r>
        <w:t>, 2002, str. 311.</w:t>
      </w:r>
    </w:p>
  </w:footnote>
  <w:footnote w:id="9">
    <w:p w:rsidR="002212EE" w:rsidRPr="00D909E2" w:rsidRDefault="002212EE" w:rsidP="00ED0DB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Nonaka, </w:t>
      </w:r>
      <w:smartTag w:uri="urn:schemas-microsoft-com:office:smarttags" w:element="place">
        <w:r>
          <w:t>I.</w:t>
        </w:r>
      </w:smartTag>
      <w:r>
        <w:t xml:space="preserve">, </w:t>
      </w:r>
      <w:r>
        <w:rPr>
          <w:b/>
        </w:rPr>
        <w:t>The Knovledge Creating Company</w:t>
      </w:r>
      <w:r>
        <w:t>, Harvard Business Review, November – December, 1991., str. 74.</w:t>
      </w:r>
    </w:p>
  </w:footnote>
  <w:footnote w:id="10">
    <w:p w:rsidR="002212EE" w:rsidRPr="00D909E2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smartTag w:uri="urn:schemas-microsoft-com:office:smarttags" w:element="place">
        <w:r>
          <w:t>Nevis</w:t>
        </w:r>
      </w:smartTag>
      <w:r>
        <w:t xml:space="preserve">, C. D., Di Beta, J. and Gouls, J. M., </w:t>
      </w:r>
      <w:r>
        <w:rPr>
          <w:b/>
        </w:rPr>
        <w:t>Understaning Organization As Learning System</w:t>
      </w:r>
      <w:r>
        <w:t>, Sloan Management Review, Winter 1985., str. 213.</w:t>
      </w:r>
    </w:p>
  </w:footnote>
  <w:footnote w:id="11">
    <w:p w:rsidR="002212EE" w:rsidRPr="00D909E2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Dougson, M., </w:t>
      </w:r>
      <w:r>
        <w:rPr>
          <w:b/>
        </w:rPr>
        <w:t>Organizational Learning: A Review of Some Literatures</w:t>
      </w:r>
      <w:r>
        <w:t>, Organizational Studies 3, 1993., str. 112.</w:t>
      </w:r>
    </w:p>
  </w:footnote>
  <w:footnote w:id="12">
    <w:p w:rsidR="002212EE" w:rsidRPr="00D909E2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Milićević, V., </w:t>
      </w:r>
      <w:r w:rsidRPr="00D909E2">
        <w:rPr>
          <w:b/>
        </w:rPr>
        <w:t>Strategijsko poslovno planiranje – menadžment pristup</w:t>
      </w:r>
      <w:r>
        <w:t xml:space="preserve">, IV izdanje, FON, </w:t>
      </w:r>
      <w:smartTag w:uri="urn:schemas-microsoft-com:office:smarttags" w:element="place">
        <w:r>
          <w:t>Beograd</w:t>
        </w:r>
      </w:smartTag>
      <w:r>
        <w:t>, 2001., str. 148.</w:t>
      </w:r>
    </w:p>
  </w:footnote>
  <w:footnote w:id="13">
    <w:p w:rsidR="002212EE" w:rsidRPr="003C7452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Senge, M. P., </w:t>
      </w:r>
      <w:r>
        <w:rPr>
          <w:b/>
        </w:rPr>
        <w:t>The Fift Discipline Fieldbook, Strategies and Tools for BuildingLearning Organization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Dobleday Courrency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>, 1994, str. 94.</w:t>
      </w:r>
    </w:p>
  </w:footnote>
  <w:footnote w:id="14">
    <w:p w:rsidR="002212EE" w:rsidRPr="003C7452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Isto, str. 104.</w:t>
      </w:r>
    </w:p>
  </w:footnote>
  <w:footnote w:id="15">
    <w:p w:rsidR="002212EE" w:rsidRPr="003C7452" w:rsidRDefault="002212EE" w:rsidP="00ED0DBC">
      <w:pPr>
        <w:pStyle w:val="FootnoteText"/>
        <w:jc w:val="both"/>
      </w:pPr>
      <w:r w:rsidRPr="003C7452">
        <w:rPr>
          <w:rStyle w:val="FootnoteReference"/>
        </w:rPr>
        <w:footnoteRef/>
      </w:r>
      <w:r>
        <w:rPr>
          <w:b/>
          <w:i/>
        </w:rPr>
        <w:t xml:space="preserve"> </w:t>
      </w:r>
      <w:r w:rsidRPr="003C7452">
        <w:t>Milićević</w:t>
      </w:r>
      <w:r>
        <w:t>,</w:t>
      </w:r>
      <w:r w:rsidRPr="003C7452">
        <w:t xml:space="preserve"> V</w:t>
      </w:r>
      <w:r>
        <w:t xml:space="preserve">., </w:t>
      </w:r>
      <w:r>
        <w:rPr>
          <w:b/>
        </w:rPr>
        <w:t>Tehnologija, kultura i razvoj</w:t>
      </w:r>
      <w:r>
        <w:t>,</w:t>
      </w:r>
      <w:r>
        <w:rPr>
          <w:b/>
          <w:i/>
        </w:rPr>
        <w:t xml:space="preserve"> </w:t>
      </w:r>
      <w:r w:rsidRPr="003C7452">
        <w:t>(zbornik</w:t>
      </w:r>
      <w:r>
        <w:rPr>
          <w:b/>
          <w:i/>
        </w:rPr>
        <w:t xml:space="preserve"> </w:t>
      </w:r>
      <w:r w:rsidRPr="003C7452">
        <w:t xml:space="preserve">radova), Institut </w:t>
      </w:r>
      <w:r>
        <w:t>„</w:t>
      </w:r>
      <w:r w:rsidRPr="003C7452">
        <w:rPr>
          <w:i/>
        </w:rPr>
        <w:t>Mihajlo Pupin</w:t>
      </w:r>
      <w:r w:rsidRPr="003C7452">
        <w:t xml:space="preserve">”, Centar za istraživanje razvoja nauke i tehnologije, </w:t>
      </w:r>
      <w:smartTag w:uri="urn:schemas-microsoft-com:office:smarttags" w:element="place">
        <w:r w:rsidRPr="003C7452">
          <w:t>Beograd</w:t>
        </w:r>
      </w:smartTag>
      <w:r w:rsidRPr="003C7452">
        <w:t>, 1997, str. 168.</w:t>
      </w:r>
    </w:p>
  </w:footnote>
  <w:footnote w:id="16">
    <w:p w:rsidR="002212EE" w:rsidRPr="003C7452" w:rsidRDefault="002212EE" w:rsidP="00ED0DB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Mahony, T. J., </w:t>
      </w:r>
      <w:r>
        <w:rPr>
          <w:b/>
        </w:rPr>
        <w:t>The measurment of Resources and the Resource of Management</w:t>
      </w:r>
      <w:r>
        <w:t>, Journal of Busin</w:t>
      </w:r>
      <w:r w:rsidR="008127D0">
        <w:t xml:space="preserve">ess Research,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EE" w:rsidRDefault="002212EE">
    <w:pPr>
      <w:pStyle w:val="Header"/>
      <w:rPr>
        <w:sz w:val="4"/>
        <w:szCs w:val="4"/>
        <w:lang w:val="sr-Latn-CS"/>
      </w:rPr>
    </w:pPr>
  </w:p>
  <w:p w:rsidR="00644885" w:rsidRPr="003D7B4D" w:rsidRDefault="00644885">
    <w:pPr>
      <w:pStyle w:val="Header"/>
      <w:rPr>
        <w:sz w:val="4"/>
        <w:szCs w:val="4"/>
        <w:lang w:val="sr-Latn-CS"/>
      </w:rPr>
    </w:pPr>
  </w:p>
  <w:p w:rsidR="002212EE" w:rsidRPr="003D7B4D" w:rsidRDefault="002212EE">
    <w:pPr>
      <w:pStyle w:val="Header"/>
      <w:rPr>
        <w:sz w:val="4"/>
        <w:szCs w:val="4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870_"/>
      </v:shape>
    </w:pict>
  </w:numPicBullet>
  <w:numPicBullet w:numPicBulletId="1">
    <w:pict>
      <v:shape id="_x0000_i1035" type="#_x0000_t75" style="width:9pt;height:9pt" o:bullet="t">
        <v:imagedata r:id="rId2" o:title="BD15059_"/>
      </v:shape>
    </w:pict>
  </w:numPicBullet>
  <w:numPicBullet w:numPicBulletId="2">
    <w:pict>
      <v:shape id="_x0000_i1036" type="#_x0000_t75" style="width:5.25pt;height:9pt" o:bullet="t">
        <v:imagedata r:id="rId3" o:title="BD21327_"/>
      </v:shape>
    </w:pict>
  </w:numPicBullet>
  <w:numPicBullet w:numPicBulletId="3">
    <w:pict>
      <v:shape id="_x0000_i1037" type="#_x0000_t75" style="width:11.25pt;height:11.25pt" o:bullet="t">
        <v:imagedata r:id="rId4" o:title="mso1"/>
      </v:shape>
    </w:pict>
  </w:numPicBullet>
  <w:abstractNum w:abstractNumId="0">
    <w:nsid w:val="018F7E9C"/>
    <w:multiLevelType w:val="multilevel"/>
    <w:tmpl w:val="ED882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277A8"/>
    <w:multiLevelType w:val="hybridMultilevel"/>
    <w:tmpl w:val="B6DA36FA"/>
    <w:lvl w:ilvl="0" w:tplc="FFFFFFFF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9FC2CDC"/>
    <w:multiLevelType w:val="singleLevel"/>
    <w:tmpl w:val="3A7857B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>
    <w:nsid w:val="0CF42C97"/>
    <w:multiLevelType w:val="hybridMultilevel"/>
    <w:tmpl w:val="EEB2CBFE"/>
    <w:lvl w:ilvl="0" w:tplc="205491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0D1D40D6"/>
    <w:multiLevelType w:val="hybridMultilevel"/>
    <w:tmpl w:val="327AD2E0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AE7AB5"/>
    <w:multiLevelType w:val="singleLevel"/>
    <w:tmpl w:val="7796417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0EFD3C0E"/>
    <w:multiLevelType w:val="hybridMultilevel"/>
    <w:tmpl w:val="28FE1D58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FF26BB4"/>
    <w:multiLevelType w:val="hybridMultilevel"/>
    <w:tmpl w:val="79729DCA"/>
    <w:lvl w:ilvl="0" w:tplc="23C225E2">
      <w:start w:val="1"/>
      <w:numFmt w:val="lowerLetter"/>
      <w:lvlText w:val="%1)"/>
      <w:lvlJc w:val="left"/>
      <w:pPr>
        <w:tabs>
          <w:tab w:val="num" w:pos="1678"/>
        </w:tabs>
        <w:ind w:left="1678" w:hanging="1110"/>
      </w:pPr>
      <w:rPr>
        <w:rFonts w:hint="default"/>
      </w:rPr>
    </w:lvl>
    <w:lvl w:ilvl="1" w:tplc="E362A53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11B740BD"/>
    <w:multiLevelType w:val="singleLevel"/>
    <w:tmpl w:val="0960F1B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</w:abstractNum>
  <w:abstractNum w:abstractNumId="9">
    <w:nsid w:val="19CB2999"/>
    <w:multiLevelType w:val="singleLevel"/>
    <w:tmpl w:val="1F5EA38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0">
    <w:nsid w:val="1BD14B18"/>
    <w:multiLevelType w:val="hybridMultilevel"/>
    <w:tmpl w:val="30F4587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D382B49"/>
    <w:multiLevelType w:val="hybridMultilevel"/>
    <w:tmpl w:val="8C1EF78C"/>
    <w:lvl w:ilvl="0" w:tplc="23AE55AE">
      <w:start w:val="1"/>
      <w:numFmt w:val="decimal"/>
      <w:lvlText w:val="%1)"/>
      <w:lvlJc w:val="left"/>
      <w:pPr>
        <w:tabs>
          <w:tab w:val="num" w:pos="1678"/>
        </w:tabs>
        <w:ind w:left="1678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1E880095"/>
    <w:multiLevelType w:val="hybridMultilevel"/>
    <w:tmpl w:val="EC785A9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0506726"/>
    <w:multiLevelType w:val="hybridMultilevel"/>
    <w:tmpl w:val="B922E376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0E47C6E"/>
    <w:multiLevelType w:val="singleLevel"/>
    <w:tmpl w:val="9FAE79A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46C7936"/>
    <w:multiLevelType w:val="singleLevel"/>
    <w:tmpl w:val="B0DECB4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6">
    <w:nsid w:val="26745B45"/>
    <w:multiLevelType w:val="hybridMultilevel"/>
    <w:tmpl w:val="F5B492E4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26C91F21"/>
    <w:multiLevelType w:val="hybridMultilevel"/>
    <w:tmpl w:val="9A02A74A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7011BF7"/>
    <w:multiLevelType w:val="hybridMultilevel"/>
    <w:tmpl w:val="AD20376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B063F69"/>
    <w:multiLevelType w:val="hybridMultilevel"/>
    <w:tmpl w:val="AE0CAD50"/>
    <w:lvl w:ilvl="0" w:tplc="698C94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AF5A24"/>
    <w:multiLevelType w:val="singleLevel"/>
    <w:tmpl w:val="C8A6409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16403E6"/>
    <w:multiLevelType w:val="hybridMultilevel"/>
    <w:tmpl w:val="B6DEF566"/>
    <w:lvl w:ilvl="0" w:tplc="00646D6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348B652F"/>
    <w:multiLevelType w:val="hybridMultilevel"/>
    <w:tmpl w:val="0E90E60C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4EB531F"/>
    <w:multiLevelType w:val="multilevel"/>
    <w:tmpl w:val="00CA96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38402A5C"/>
    <w:multiLevelType w:val="hybridMultilevel"/>
    <w:tmpl w:val="FFA2AB1A"/>
    <w:lvl w:ilvl="0" w:tplc="6024A5E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5">
    <w:nsid w:val="38C05F6A"/>
    <w:multiLevelType w:val="hybridMultilevel"/>
    <w:tmpl w:val="47B2F298"/>
    <w:lvl w:ilvl="0" w:tplc="FCC6BA3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D18C386">
      <w:start w:val="1"/>
      <w:numFmt w:val="decimal"/>
      <w:lvlText w:val="%2)"/>
      <w:lvlJc w:val="left"/>
      <w:pPr>
        <w:tabs>
          <w:tab w:val="num" w:pos="2681"/>
        </w:tabs>
        <w:ind w:left="2681" w:hanging="11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39105019"/>
    <w:multiLevelType w:val="hybridMultilevel"/>
    <w:tmpl w:val="4F62E9EA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918064C"/>
    <w:multiLevelType w:val="hybridMultilevel"/>
    <w:tmpl w:val="9E06CDBC"/>
    <w:lvl w:ilvl="0" w:tplc="8CD687EE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86"/>
        </w:tabs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46"/>
        </w:tabs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66"/>
        </w:tabs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06"/>
        </w:tabs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26"/>
        </w:tabs>
        <w:ind w:left="5726" w:hanging="360"/>
      </w:pPr>
      <w:rPr>
        <w:rFonts w:ascii="Wingdings" w:hAnsi="Wingdings" w:hint="default"/>
      </w:rPr>
    </w:lvl>
  </w:abstractNum>
  <w:abstractNum w:abstractNumId="28">
    <w:nsid w:val="3A8E1551"/>
    <w:multiLevelType w:val="hybridMultilevel"/>
    <w:tmpl w:val="54D26D8A"/>
    <w:lvl w:ilvl="0" w:tplc="DCC2B180">
      <w:start w:val="1"/>
      <w:numFmt w:val="upp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C816708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3D3D1B27"/>
    <w:multiLevelType w:val="hybridMultilevel"/>
    <w:tmpl w:val="2FDEB58A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3D743D19"/>
    <w:multiLevelType w:val="hybridMultilevel"/>
    <w:tmpl w:val="637617CA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4013502F"/>
    <w:multiLevelType w:val="singleLevel"/>
    <w:tmpl w:val="AD9CE2C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2">
    <w:nsid w:val="443D27C1"/>
    <w:multiLevelType w:val="singleLevel"/>
    <w:tmpl w:val="AAE45F56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3">
    <w:nsid w:val="4BE70F65"/>
    <w:multiLevelType w:val="hybridMultilevel"/>
    <w:tmpl w:val="852C5044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00223B9"/>
    <w:multiLevelType w:val="hybridMultilevel"/>
    <w:tmpl w:val="AEC4254C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21124B0"/>
    <w:multiLevelType w:val="singleLevel"/>
    <w:tmpl w:val="3B8A916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6">
    <w:nsid w:val="530B0413"/>
    <w:multiLevelType w:val="hybridMultilevel"/>
    <w:tmpl w:val="FC2A61CE"/>
    <w:lvl w:ilvl="0" w:tplc="8CD687EE">
      <w:start w:val="1"/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498C04BE">
      <w:start w:val="1"/>
      <w:numFmt w:val="bullet"/>
      <w:lvlText w:val=""/>
      <w:lvlJc w:val="left"/>
      <w:pPr>
        <w:tabs>
          <w:tab w:val="num" w:pos="2498"/>
        </w:tabs>
        <w:ind w:left="2498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7">
    <w:nsid w:val="53424DE2"/>
    <w:multiLevelType w:val="hybridMultilevel"/>
    <w:tmpl w:val="65A86C30"/>
    <w:lvl w:ilvl="0" w:tplc="FFFFFFFF">
      <w:start w:val="1"/>
      <w:numFmt w:val="decimal"/>
      <w:lvlText w:val="%1)"/>
      <w:lvlJc w:val="left"/>
      <w:pPr>
        <w:tabs>
          <w:tab w:val="num" w:pos="2055"/>
        </w:tabs>
        <w:ind w:left="2055" w:hanging="14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3BF0CE5"/>
    <w:multiLevelType w:val="hybridMultilevel"/>
    <w:tmpl w:val="D15402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5B31279F"/>
    <w:multiLevelType w:val="hybridMultilevel"/>
    <w:tmpl w:val="83B2D2F8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>
    <w:nsid w:val="639A6880"/>
    <w:multiLevelType w:val="hybridMultilevel"/>
    <w:tmpl w:val="62A4B9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653742E9"/>
    <w:multiLevelType w:val="hybridMultilevel"/>
    <w:tmpl w:val="72D01284"/>
    <w:lvl w:ilvl="0" w:tplc="00646D64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1" w:tplc="00646D6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2">
    <w:nsid w:val="689B3DE8"/>
    <w:multiLevelType w:val="hybridMultilevel"/>
    <w:tmpl w:val="77D807BE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3030"/>
        </w:tabs>
        <w:ind w:left="3030" w:hanging="171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3">
    <w:nsid w:val="69AC4147"/>
    <w:multiLevelType w:val="singleLevel"/>
    <w:tmpl w:val="4D4600A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</w:abstractNum>
  <w:abstractNum w:abstractNumId="44">
    <w:nsid w:val="6CCF0077"/>
    <w:multiLevelType w:val="hybridMultilevel"/>
    <w:tmpl w:val="BFEEC1B6"/>
    <w:lvl w:ilvl="0" w:tplc="FFFFFFFF">
      <w:start w:val="1"/>
      <w:numFmt w:val="decimal"/>
      <w:lvlText w:val="%1)"/>
      <w:lvlJc w:val="left"/>
      <w:pPr>
        <w:tabs>
          <w:tab w:val="num" w:pos="2455"/>
        </w:tabs>
        <w:ind w:left="2455" w:hanging="14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>
    <w:nsid w:val="778447C0"/>
    <w:multiLevelType w:val="hybridMultilevel"/>
    <w:tmpl w:val="CA0600D8"/>
    <w:lvl w:ilvl="0" w:tplc="00646D6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797B279C"/>
    <w:multiLevelType w:val="hybridMultilevel"/>
    <w:tmpl w:val="AE045BEA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7">
    <w:nsid w:val="79B906EF"/>
    <w:multiLevelType w:val="hybridMultilevel"/>
    <w:tmpl w:val="6F741D84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B140C13"/>
    <w:multiLevelType w:val="hybridMultilevel"/>
    <w:tmpl w:val="DCD6AF2E"/>
    <w:lvl w:ilvl="0" w:tplc="8CD687EE">
      <w:start w:val="1"/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ED86D17A">
      <w:numFmt w:val="bullet"/>
      <w:lvlText w:val="-"/>
      <w:lvlJc w:val="left"/>
      <w:pPr>
        <w:tabs>
          <w:tab w:val="num" w:pos="884"/>
        </w:tabs>
        <w:ind w:left="884" w:hanging="28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9">
    <w:nsid w:val="7E7359AE"/>
    <w:multiLevelType w:val="hybridMultilevel"/>
    <w:tmpl w:val="67A217CA"/>
    <w:lvl w:ilvl="0" w:tplc="00646D64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1" w:tplc="00646D6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38"/>
  </w:num>
  <w:num w:numId="4">
    <w:abstractNumId w:val="39"/>
  </w:num>
  <w:num w:numId="5">
    <w:abstractNumId w:val="13"/>
  </w:num>
  <w:num w:numId="6">
    <w:abstractNumId w:val="47"/>
  </w:num>
  <w:num w:numId="7">
    <w:abstractNumId w:val="6"/>
  </w:num>
  <w:num w:numId="8">
    <w:abstractNumId w:val="26"/>
  </w:num>
  <w:num w:numId="9">
    <w:abstractNumId w:val="15"/>
  </w:num>
  <w:num w:numId="10">
    <w:abstractNumId w:val="32"/>
  </w:num>
  <w:num w:numId="11">
    <w:abstractNumId w:val="14"/>
  </w:num>
  <w:num w:numId="12">
    <w:abstractNumId w:val="9"/>
  </w:num>
  <w:num w:numId="13">
    <w:abstractNumId w:val="2"/>
  </w:num>
  <w:num w:numId="14">
    <w:abstractNumId w:val="20"/>
  </w:num>
  <w:num w:numId="15">
    <w:abstractNumId w:val="5"/>
  </w:num>
  <w:num w:numId="16">
    <w:abstractNumId w:val="35"/>
  </w:num>
  <w:num w:numId="17">
    <w:abstractNumId w:val="8"/>
  </w:num>
  <w:num w:numId="18">
    <w:abstractNumId w:val="31"/>
  </w:num>
  <w:num w:numId="19">
    <w:abstractNumId w:val="28"/>
  </w:num>
  <w:num w:numId="20">
    <w:abstractNumId w:val="25"/>
  </w:num>
  <w:num w:numId="21">
    <w:abstractNumId w:val="7"/>
  </w:num>
  <w:num w:numId="22">
    <w:abstractNumId w:val="11"/>
  </w:num>
  <w:num w:numId="23">
    <w:abstractNumId w:val="1"/>
  </w:num>
  <w:num w:numId="24">
    <w:abstractNumId w:val="16"/>
  </w:num>
  <w:num w:numId="25">
    <w:abstractNumId w:val="29"/>
  </w:num>
  <w:num w:numId="26">
    <w:abstractNumId w:val="44"/>
  </w:num>
  <w:num w:numId="27">
    <w:abstractNumId w:val="42"/>
  </w:num>
  <w:num w:numId="28">
    <w:abstractNumId w:val="37"/>
  </w:num>
  <w:num w:numId="29">
    <w:abstractNumId w:val="43"/>
  </w:num>
  <w:num w:numId="30">
    <w:abstractNumId w:val="34"/>
  </w:num>
  <w:num w:numId="31">
    <w:abstractNumId w:val="33"/>
  </w:num>
  <w:num w:numId="32">
    <w:abstractNumId w:val="12"/>
  </w:num>
  <w:num w:numId="33">
    <w:abstractNumId w:val="17"/>
  </w:num>
  <w:num w:numId="34">
    <w:abstractNumId w:val="27"/>
  </w:num>
  <w:num w:numId="35">
    <w:abstractNumId w:val="30"/>
  </w:num>
  <w:num w:numId="36">
    <w:abstractNumId w:val="36"/>
  </w:num>
  <w:num w:numId="37">
    <w:abstractNumId w:val="45"/>
  </w:num>
  <w:num w:numId="38">
    <w:abstractNumId w:val="48"/>
  </w:num>
  <w:num w:numId="39">
    <w:abstractNumId w:val="49"/>
  </w:num>
  <w:num w:numId="40">
    <w:abstractNumId w:val="41"/>
  </w:num>
  <w:num w:numId="41">
    <w:abstractNumId w:val="21"/>
  </w:num>
  <w:num w:numId="42">
    <w:abstractNumId w:val="22"/>
  </w:num>
  <w:num w:numId="43">
    <w:abstractNumId w:val="18"/>
  </w:num>
  <w:num w:numId="44">
    <w:abstractNumId w:val="4"/>
  </w:num>
  <w:num w:numId="45">
    <w:abstractNumId w:val="23"/>
  </w:num>
  <w:num w:numId="46">
    <w:abstractNumId w:val="46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86056"/>
    <w:rsid w:val="00000A46"/>
    <w:rsid w:val="00012C81"/>
    <w:rsid w:val="00017C1D"/>
    <w:rsid w:val="00020083"/>
    <w:rsid w:val="000217DD"/>
    <w:rsid w:val="00024DE2"/>
    <w:rsid w:val="0002657B"/>
    <w:rsid w:val="000301D7"/>
    <w:rsid w:val="00035C78"/>
    <w:rsid w:val="0004352C"/>
    <w:rsid w:val="00045C0C"/>
    <w:rsid w:val="00067FD8"/>
    <w:rsid w:val="00071113"/>
    <w:rsid w:val="00086735"/>
    <w:rsid w:val="000931F3"/>
    <w:rsid w:val="000A3AE3"/>
    <w:rsid w:val="000A4C49"/>
    <w:rsid w:val="000B01C8"/>
    <w:rsid w:val="000B0AFE"/>
    <w:rsid w:val="000C5ED5"/>
    <w:rsid w:val="000D2A86"/>
    <w:rsid w:val="000F1C93"/>
    <w:rsid w:val="000F4313"/>
    <w:rsid w:val="000F5367"/>
    <w:rsid w:val="001242BF"/>
    <w:rsid w:val="00127BE5"/>
    <w:rsid w:val="00135791"/>
    <w:rsid w:val="00137555"/>
    <w:rsid w:val="00141E42"/>
    <w:rsid w:val="001617E7"/>
    <w:rsid w:val="00163335"/>
    <w:rsid w:val="00163C1E"/>
    <w:rsid w:val="00164879"/>
    <w:rsid w:val="00172F96"/>
    <w:rsid w:val="0017527A"/>
    <w:rsid w:val="0019722D"/>
    <w:rsid w:val="001A0300"/>
    <w:rsid w:val="001B5F8C"/>
    <w:rsid w:val="001C252B"/>
    <w:rsid w:val="001C6F3B"/>
    <w:rsid w:val="001E1C5B"/>
    <w:rsid w:val="001E6BE8"/>
    <w:rsid w:val="00216BFE"/>
    <w:rsid w:val="002212EE"/>
    <w:rsid w:val="00237B47"/>
    <w:rsid w:val="00251FB0"/>
    <w:rsid w:val="00255B02"/>
    <w:rsid w:val="0026715B"/>
    <w:rsid w:val="0026777E"/>
    <w:rsid w:val="0028014E"/>
    <w:rsid w:val="002905C8"/>
    <w:rsid w:val="002B11F6"/>
    <w:rsid w:val="002B4F4C"/>
    <w:rsid w:val="002C0954"/>
    <w:rsid w:val="002D7AE9"/>
    <w:rsid w:val="002E0544"/>
    <w:rsid w:val="002E3DF2"/>
    <w:rsid w:val="002F38A2"/>
    <w:rsid w:val="002F5A7A"/>
    <w:rsid w:val="00351D90"/>
    <w:rsid w:val="00355B53"/>
    <w:rsid w:val="00366C27"/>
    <w:rsid w:val="00372414"/>
    <w:rsid w:val="00375C28"/>
    <w:rsid w:val="0038305A"/>
    <w:rsid w:val="003940CD"/>
    <w:rsid w:val="003A75EB"/>
    <w:rsid w:val="003A7E46"/>
    <w:rsid w:val="003D409B"/>
    <w:rsid w:val="003D5A8C"/>
    <w:rsid w:val="003D7B4D"/>
    <w:rsid w:val="003E130D"/>
    <w:rsid w:val="003E6344"/>
    <w:rsid w:val="00404A31"/>
    <w:rsid w:val="00416C9B"/>
    <w:rsid w:val="00427A61"/>
    <w:rsid w:val="0043507C"/>
    <w:rsid w:val="0044607C"/>
    <w:rsid w:val="004708E1"/>
    <w:rsid w:val="00487237"/>
    <w:rsid w:val="0048754B"/>
    <w:rsid w:val="004F7EA9"/>
    <w:rsid w:val="00506C43"/>
    <w:rsid w:val="00514591"/>
    <w:rsid w:val="0052243B"/>
    <w:rsid w:val="005556CD"/>
    <w:rsid w:val="005659CD"/>
    <w:rsid w:val="00567432"/>
    <w:rsid w:val="00573C1D"/>
    <w:rsid w:val="0058676E"/>
    <w:rsid w:val="0059028D"/>
    <w:rsid w:val="00591F3D"/>
    <w:rsid w:val="005B2FAE"/>
    <w:rsid w:val="005B4DC6"/>
    <w:rsid w:val="005D1B32"/>
    <w:rsid w:val="005E4E9E"/>
    <w:rsid w:val="005F1956"/>
    <w:rsid w:val="005F4CBD"/>
    <w:rsid w:val="00605C40"/>
    <w:rsid w:val="00616A51"/>
    <w:rsid w:val="00620919"/>
    <w:rsid w:val="0064380E"/>
    <w:rsid w:val="00644885"/>
    <w:rsid w:val="00644EE1"/>
    <w:rsid w:val="00662670"/>
    <w:rsid w:val="0067414D"/>
    <w:rsid w:val="006813AB"/>
    <w:rsid w:val="00686F42"/>
    <w:rsid w:val="006A7D1C"/>
    <w:rsid w:val="006E1B90"/>
    <w:rsid w:val="006E735D"/>
    <w:rsid w:val="006F0B0A"/>
    <w:rsid w:val="006F34E1"/>
    <w:rsid w:val="00713A3E"/>
    <w:rsid w:val="00721FFF"/>
    <w:rsid w:val="0072596F"/>
    <w:rsid w:val="00725BD8"/>
    <w:rsid w:val="00727FEA"/>
    <w:rsid w:val="007342C8"/>
    <w:rsid w:val="00746945"/>
    <w:rsid w:val="00757AA9"/>
    <w:rsid w:val="00782B85"/>
    <w:rsid w:val="007A55BC"/>
    <w:rsid w:val="007A6F49"/>
    <w:rsid w:val="007F4D73"/>
    <w:rsid w:val="008127D0"/>
    <w:rsid w:val="008258E5"/>
    <w:rsid w:val="00865FD9"/>
    <w:rsid w:val="00892DC0"/>
    <w:rsid w:val="008A44CC"/>
    <w:rsid w:val="008A6BFB"/>
    <w:rsid w:val="008B4A64"/>
    <w:rsid w:val="008D2A33"/>
    <w:rsid w:val="008D41EA"/>
    <w:rsid w:val="008E252E"/>
    <w:rsid w:val="008E569F"/>
    <w:rsid w:val="008F1345"/>
    <w:rsid w:val="008F41A7"/>
    <w:rsid w:val="008F6705"/>
    <w:rsid w:val="009005ED"/>
    <w:rsid w:val="00900D8E"/>
    <w:rsid w:val="0091638D"/>
    <w:rsid w:val="00920EC1"/>
    <w:rsid w:val="00924AE1"/>
    <w:rsid w:val="00953BC7"/>
    <w:rsid w:val="00955D8F"/>
    <w:rsid w:val="00967137"/>
    <w:rsid w:val="009729C3"/>
    <w:rsid w:val="00997B33"/>
    <w:rsid w:val="009A3925"/>
    <w:rsid w:val="009B0282"/>
    <w:rsid w:val="009C2DE9"/>
    <w:rsid w:val="009D4379"/>
    <w:rsid w:val="009F4BE7"/>
    <w:rsid w:val="00A007DB"/>
    <w:rsid w:val="00A03FA0"/>
    <w:rsid w:val="00A156E4"/>
    <w:rsid w:val="00A22464"/>
    <w:rsid w:val="00A26063"/>
    <w:rsid w:val="00A344EB"/>
    <w:rsid w:val="00A37401"/>
    <w:rsid w:val="00A55421"/>
    <w:rsid w:val="00A57BD2"/>
    <w:rsid w:val="00A63CF8"/>
    <w:rsid w:val="00A858AB"/>
    <w:rsid w:val="00AB1D06"/>
    <w:rsid w:val="00AC47FB"/>
    <w:rsid w:val="00AD4779"/>
    <w:rsid w:val="00AE5287"/>
    <w:rsid w:val="00AF75C9"/>
    <w:rsid w:val="00B31112"/>
    <w:rsid w:val="00B31B9E"/>
    <w:rsid w:val="00B32F7E"/>
    <w:rsid w:val="00B372BA"/>
    <w:rsid w:val="00B47643"/>
    <w:rsid w:val="00B50B16"/>
    <w:rsid w:val="00B63A86"/>
    <w:rsid w:val="00B7563F"/>
    <w:rsid w:val="00B940E0"/>
    <w:rsid w:val="00BB0E3E"/>
    <w:rsid w:val="00BC2568"/>
    <w:rsid w:val="00BC2BBE"/>
    <w:rsid w:val="00BC79EF"/>
    <w:rsid w:val="00BD0AC9"/>
    <w:rsid w:val="00BF0042"/>
    <w:rsid w:val="00C015C3"/>
    <w:rsid w:val="00C023B8"/>
    <w:rsid w:val="00C074FD"/>
    <w:rsid w:val="00C11B77"/>
    <w:rsid w:val="00C375D5"/>
    <w:rsid w:val="00C44304"/>
    <w:rsid w:val="00C6040F"/>
    <w:rsid w:val="00C768EA"/>
    <w:rsid w:val="00C96DA5"/>
    <w:rsid w:val="00CA1AC3"/>
    <w:rsid w:val="00CB5DE6"/>
    <w:rsid w:val="00CD3B28"/>
    <w:rsid w:val="00D15ADC"/>
    <w:rsid w:val="00D23690"/>
    <w:rsid w:val="00D33854"/>
    <w:rsid w:val="00D45DE8"/>
    <w:rsid w:val="00D52C07"/>
    <w:rsid w:val="00D53D8A"/>
    <w:rsid w:val="00D54DDA"/>
    <w:rsid w:val="00D679CB"/>
    <w:rsid w:val="00D77A61"/>
    <w:rsid w:val="00D80BBA"/>
    <w:rsid w:val="00D82152"/>
    <w:rsid w:val="00D9676B"/>
    <w:rsid w:val="00DA3253"/>
    <w:rsid w:val="00DB6C7C"/>
    <w:rsid w:val="00DD6BF7"/>
    <w:rsid w:val="00DE5701"/>
    <w:rsid w:val="00DE777D"/>
    <w:rsid w:val="00E04EBD"/>
    <w:rsid w:val="00E158DF"/>
    <w:rsid w:val="00E16EC2"/>
    <w:rsid w:val="00E2397B"/>
    <w:rsid w:val="00E41CC2"/>
    <w:rsid w:val="00E51D41"/>
    <w:rsid w:val="00E6061C"/>
    <w:rsid w:val="00E63C6D"/>
    <w:rsid w:val="00E85D4C"/>
    <w:rsid w:val="00E9684F"/>
    <w:rsid w:val="00EC3E8F"/>
    <w:rsid w:val="00ED0DBC"/>
    <w:rsid w:val="00ED245F"/>
    <w:rsid w:val="00ED2B1A"/>
    <w:rsid w:val="00ED3F05"/>
    <w:rsid w:val="00F3396C"/>
    <w:rsid w:val="00F53ABE"/>
    <w:rsid w:val="00F66C42"/>
    <w:rsid w:val="00F7018D"/>
    <w:rsid w:val="00F7139B"/>
    <w:rsid w:val="00F8015E"/>
    <w:rsid w:val="00F859E3"/>
    <w:rsid w:val="00F86056"/>
    <w:rsid w:val="00FC2B53"/>
    <w:rsid w:val="00FD0E9F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25"/>
    <w:rPr>
      <w:sz w:val="24"/>
      <w:szCs w:val="24"/>
    </w:rPr>
  </w:style>
  <w:style w:type="paragraph" w:styleId="Heading2">
    <w:name w:val="heading 2"/>
    <w:basedOn w:val="Normal"/>
    <w:next w:val="Normal"/>
    <w:qFormat/>
    <w:rsid w:val="00ED0D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0D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E252E"/>
    <w:pPr>
      <w:keepNext/>
      <w:ind w:firstLine="720"/>
      <w:jc w:val="center"/>
      <w:outlineLvl w:val="3"/>
    </w:pPr>
    <w:rPr>
      <w:b/>
      <w:noProof/>
      <w:lang w:val="sl-SI"/>
    </w:rPr>
  </w:style>
  <w:style w:type="paragraph" w:styleId="Heading5">
    <w:name w:val="heading 5"/>
    <w:basedOn w:val="Normal"/>
    <w:next w:val="Normal"/>
    <w:qFormat/>
    <w:rsid w:val="008E252E"/>
    <w:pPr>
      <w:keepNext/>
      <w:jc w:val="center"/>
      <w:outlineLvl w:val="4"/>
    </w:pPr>
    <w:rPr>
      <w:b/>
      <w:noProof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4">
    <w:name w:val="Table List 4"/>
    <w:basedOn w:val="TableNormal"/>
    <w:rsid w:val="003A75E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1">
    <w:name w:val="Table List 1"/>
    <w:basedOn w:val="TableNormal"/>
    <w:rsid w:val="00416C9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line">
    <w:name w:val="Aline"/>
    <w:basedOn w:val="TableList4"/>
    <w:rsid w:val="004708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Elegant">
    <w:name w:val="Table Elegant"/>
    <w:basedOn w:val="TableNormal"/>
    <w:rsid w:val="008E252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semiHidden/>
    <w:rsid w:val="00A3740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37401"/>
    <w:rPr>
      <w:vertAlign w:val="superscript"/>
    </w:rPr>
  </w:style>
  <w:style w:type="paragraph" w:styleId="Footer">
    <w:name w:val="footer"/>
    <w:basedOn w:val="Normal"/>
    <w:rsid w:val="00DE570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DE5701"/>
  </w:style>
  <w:style w:type="paragraph" w:styleId="Header">
    <w:name w:val="header"/>
    <w:basedOn w:val="Normal"/>
    <w:rsid w:val="003D7B4D"/>
    <w:pPr>
      <w:tabs>
        <w:tab w:val="center" w:pos="4535"/>
        <w:tab w:val="right" w:pos="9071"/>
      </w:tabs>
    </w:pPr>
  </w:style>
  <w:style w:type="paragraph" w:styleId="BodyTextIndent">
    <w:name w:val="Body Text Indent"/>
    <w:basedOn w:val="Normal"/>
    <w:rsid w:val="00CB5DE6"/>
    <w:pPr>
      <w:ind w:firstLine="851"/>
    </w:pPr>
    <w:rPr>
      <w:b/>
      <w:szCs w:val="20"/>
    </w:rPr>
  </w:style>
  <w:style w:type="paragraph" w:styleId="BodyTextIndent2">
    <w:name w:val="Body Text Indent 2"/>
    <w:basedOn w:val="Normal"/>
    <w:rsid w:val="00CB5DE6"/>
    <w:pPr>
      <w:ind w:firstLine="851"/>
    </w:pPr>
    <w:rPr>
      <w:szCs w:val="20"/>
    </w:rPr>
  </w:style>
  <w:style w:type="paragraph" w:styleId="BodyTextIndent3">
    <w:name w:val="Body Text Indent 3"/>
    <w:basedOn w:val="Normal"/>
    <w:rsid w:val="00CB5DE6"/>
    <w:pPr>
      <w:ind w:left="851"/>
    </w:pPr>
    <w:rPr>
      <w:b/>
      <w:szCs w:val="20"/>
      <w:lang w:val="sl-SI"/>
    </w:rPr>
  </w:style>
  <w:style w:type="numbering" w:customStyle="1" w:styleId="NoList1">
    <w:name w:val="No List1"/>
    <w:next w:val="NoList"/>
    <w:semiHidden/>
    <w:rsid w:val="00AE5287"/>
  </w:style>
  <w:style w:type="table" w:styleId="TableClassic1">
    <w:name w:val="Table Classic 1"/>
    <w:basedOn w:val="TableNormal"/>
    <w:rsid w:val="00CD3B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7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Strategijski aspekt upravljanja inovacijama</vt:lpstr>
    </vt:vector>
  </TitlesOfParts>
  <Company>Casper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Strategijski aspekt upravljanja inovacijama</dc:title>
  <dc:creator>Zorica Sagic</dc:creator>
  <cp:lastModifiedBy>Pedja</cp:lastModifiedBy>
  <cp:revision>6</cp:revision>
  <dcterms:created xsi:type="dcterms:W3CDTF">2015-03-19T13:27:00Z</dcterms:created>
  <dcterms:modified xsi:type="dcterms:W3CDTF">2015-04-02T11:49:00Z</dcterms:modified>
</cp:coreProperties>
</file>